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cs="宋体"/>
          <w:b/>
          <w:color w:val="auto"/>
          <w:sz w:val="32"/>
          <w:szCs w:val="24"/>
        </w:rPr>
      </w:pPr>
    </w:p>
    <w:p>
      <w:pPr>
        <w:jc w:val="center"/>
        <w:rPr>
          <w:rFonts w:hint="eastAsia" w:ascii="宋体" w:hAnsi="宋体" w:cs="宋体"/>
          <w:b/>
          <w:color w:val="auto"/>
          <w:sz w:val="40"/>
          <w:szCs w:val="32"/>
        </w:rPr>
      </w:pPr>
      <w:bookmarkStart w:id="18" w:name="_GoBack"/>
      <w:r>
        <w:rPr>
          <w:rFonts w:hint="eastAsia" w:ascii="宋体" w:hAnsi="宋体" w:cs="宋体"/>
          <w:b/>
          <w:color w:val="auto"/>
          <w:sz w:val="40"/>
          <w:szCs w:val="32"/>
        </w:rPr>
        <w:t>超高效液相色谱-串联四极杆</w:t>
      </w:r>
    </w:p>
    <w:p>
      <w:pPr>
        <w:jc w:val="center"/>
        <w:rPr>
          <w:rFonts w:hint="eastAsia" w:ascii="宋体" w:hAnsi="宋体" w:cs="宋体"/>
          <w:b/>
          <w:color w:val="auto"/>
          <w:sz w:val="40"/>
          <w:szCs w:val="32"/>
        </w:rPr>
      </w:pPr>
      <w:r>
        <w:rPr>
          <w:rFonts w:hint="eastAsia" w:ascii="宋体" w:hAnsi="宋体" w:cs="宋体"/>
          <w:b/>
          <w:color w:val="auto"/>
          <w:sz w:val="40"/>
          <w:szCs w:val="32"/>
        </w:rPr>
        <w:t>质谱联用仪设备购置项目</w:t>
      </w:r>
    </w:p>
    <w:bookmarkEnd w:id="18"/>
    <w:p>
      <w:pPr>
        <w:jc w:val="center"/>
        <w:rPr>
          <w:rFonts w:ascii="宋体" w:hAnsi="宋体" w:cs="宋体"/>
          <w:b/>
          <w:color w:val="auto"/>
          <w:sz w:val="40"/>
          <w:szCs w:val="32"/>
        </w:rPr>
      </w:pPr>
      <w:r>
        <w:rPr>
          <w:rFonts w:hint="eastAsia" w:ascii="宋体" w:hAnsi="宋体" w:cs="宋体"/>
          <w:b/>
          <w:color w:val="auto"/>
          <w:sz w:val="40"/>
          <w:szCs w:val="32"/>
        </w:rPr>
        <w:t>招标文件</w:t>
      </w:r>
    </w:p>
    <w:p>
      <w:pPr>
        <w:jc w:val="center"/>
        <w:rPr>
          <w:rFonts w:ascii="宋体" w:hAnsi="宋体" w:cs="宋体"/>
          <w:b/>
          <w:color w:val="auto"/>
          <w:sz w:val="32"/>
          <w:szCs w:val="24"/>
        </w:rPr>
      </w:pPr>
    </w:p>
    <w:p>
      <w:pPr>
        <w:jc w:val="center"/>
        <w:rPr>
          <w:rFonts w:ascii="宋体" w:hAnsi="宋体" w:cs="宋体"/>
          <w:b/>
          <w:color w:val="auto"/>
          <w:sz w:val="32"/>
          <w:szCs w:val="24"/>
        </w:rPr>
      </w:pPr>
      <w:r>
        <w:rPr>
          <w:rFonts w:hint="eastAsia" w:ascii="宋体" w:hAnsi="宋体" w:cs="宋体"/>
          <w:b/>
          <w:color w:val="auto"/>
          <w:sz w:val="32"/>
          <w:szCs w:val="24"/>
        </w:rPr>
        <w:t>（项目编号：SCGP-</w:t>
      </w:r>
      <w:r>
        <w:rPr>
          <w:rFonts w:hint="eastAsia" w:ascii="宋体" w:hAnsi="宋体" w:cs="宋体"/>
          <w:b/>
          <w:color w:val="auto"/>
          <w:sz w:val="32"/>
          <w:szCs w:val="24"/>
          <w:lang w:val="en-US" w:eastAsia="zh-CN"/>
        </w:rPr>
        <w:t>2022</w:t>
      </w:r>
      <w:r>
        <w:rPr>
          <w:rFonts w:hint="eastAsia" w:ascii="宋体" w:hAnsi="宋体" w:cs="宋体"/>
          <w:b/>
          <w:color w:val="auto"/>
          <w:sz w:val="32"/>
          <w:szCs w:val="24"/>
        </w:rPr>
        <w:t>-H-10</w:t>
      </w:r>
      <w:r>
        <w:rPr>
          <w:rFonts w:hint="eastAsia" w:ascii="宋体" w:hAnsi="宋体" w:cs="宋体"/>
          <w:b/>
          <w:color w:val="auto"/>
          <w:sz w:val="32"/>
          <w:szCs w:val="24"/>
          <w:lang w:val="en-US" w:eastAsia="zh-CN"/>
        </w:rPr>
        <w:t>03</w:t>
      </w:r>
      <w:r>
        <w:rPr>
          <w:rFonts w:hint="eastAsia" w:ascii="宋体" w:hAnsi="宋体" w:cs="宋体"/>
          <w:b/>
          <w:color w:val="auto"/>
          <w:sz w:val="32"/>
          <w:szCs w:val="24"/>
        </w:rPr>
        <w:t>）</w:t>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jc w:val="center"/>
        <w:rPr>
          <w:rFonts w:ascii="宋体" w:hAnsi="宋体" w:cs="宋体"/>
          <w:b/>
          <w:color w:val="auto"/>
          <w:sz w:val="24"/>
          <w:szCs w:val="24"/>
        </w:rPr>
      </w:pPr>
    </w:p>
    <w:p>
      <w:pPr>
        <w:ind w:firstLine="1150" w:firstLineChars="429"/>
        <w:rPr>
          <w:rFonts w:ascii="宋体" w:hAnsi="宋体" w:cs="宋体"/>
          <w:b/>
          <w:color w:val="auto"/>
          <w:sz w:val="28"/>
          <w:szCs w:val="24"/>
        </w:rPr>
      </w:pPr>
      <w:r>
        <w:rPr>
          <w:rFonts w:hint="eastAsia" w:ascii="宋体" w:hAnsi="宋体" w:cs="宋体"/>
          <w:b/>
          <w:color w:val="auto"/>
          <w:sz w:val="28"/>
          <w:szCs w:val="24"/>
        </w:rPr>
        <w:t>采    购  人：天津中医药大学</w:t>
      </w:r>
    </w:p>
    <w:p>
      <w:pPr>
        <w:ind w:firstLine="1150" w:firstLineChars="429"/>
        <w:rPr>
          <w:rFonts w:ascii="宋体" w:hAnsi="宋体" w:cs="宋体"/>
          <w:b/>
          <w:color w:val="auto"/>
          <w:sz w:val="28"/>
          <w:szCs w:val="24"/>
        </w:rPr>
      </w:pPr>
      <w:r>
        <w:rPr>
          <w:rFonts w:hint="eastAsia" w:ascii="宋体" w:hAnsi="宋体" w:cs="宋体"/>
          <w:b/>
          <w:color w:val="auto"/>
          <w:sz w:val="28"/>
          <w:szCs w:val="24"/>
        </w:rPr>
        <w:t>采购代理机构：天津晟辰工程造价咨询有限公司</w:t>
      </w:r>
    </w:p>
    <w:p>
      <w:pPr>
        <w:jc w:val="center"/>
        <w:rPr>
          <w:rFonts w:hint="default" w:ascii="宋体" w:hAnsi="宋体" w:eastAsia="宋体" w:cs="宋体"/>
          <w:b/>
          <w:color w:val="auto"/>
          <w:sz w:val="36"/>
          <w:szCs w:val="36"/>
          <w:lang w:val="en-US" w:eastAsia="zh-CN"/>
        </w:rPr>
      </w:pPr>
      <w:r>
        <w:rPr>
          <w:rFonts w:hint="eastAsia" w:ascii="宋体" w:hAnsi="宋体" w:cs="宋体"/>
          <w:b/>
          <w:color w:val="auto"/>
          <w:sz w:val="36"/>
          <w:szCs w:val="36"/>
        </w:rPr>
        <w:t>20</w:t>
      </w:r>
      <w:r>
        <w:rPr>
          <w:rFonts w:hint="eastAsia" w:ascii="宋体" w:hAnsi="宋体" w:cs="宋体"/>
          <w:b/>
          <w:color w:val="auto"/>
          <w:sz w:val="36"/>
          <w:szCs w:val="36"/>
          <w:lang w:val="en-US" w:eastAsia="zh-CN"/>
        </w:rPr>
        <w:t>22</w:t>
      </w:r>
      <w:r>
        <w:rPr>
          <w:rFonts w:hint="eastAsia" w:ascii="宋体" w:hAnsi="宋体" w:cs="宋体"/>
          <w:b/>
          <w:color w:val="auto"/>
          <w:sz w:val="36"/>
          <w:szCs w:val="36"/>
        </w:rPr>
        <w:t>.</w:t>
      </w:r>
      <w:r>
        <w:rPr>
          <w:rFonts w:hint="eastAsia" w:ascii="宋体" w:hAnsi="宋体" w:cs="宋体"/>
          <w:b/>
          <w:color w:val="auto"/>
          <w:sz w:val="36"/>
          <w:szCs w:val="36"/>
          <w:lang w:val="en-US" w:eastAsia="zh-CN"/>
        </w:rPr>
        <w:t>07</w:t>
      </w:r>
    </w:p>
    <w:p>
      <w:pPr>
        <w:jc w:val="center"/>
        <w:rPr>
          <w:rFonts w:ascii="宋体" w:hAnsi="宋体" w:cs="宋体"/>
          <w:b/>
          <w:color w:val="auto"/>
          <w:sz w:val="28"/>
          <w:szCs w:val="24"/>
        </w:rPr>
      </w:pPr>
    </w:p>
    <w:p>
      <w:pPr>
        <w:jc w:val="center"/>
        <w:rPr>
          <w:rFonts w:ascii="宋体" w:hAnsi="宋体" w:cs="宋体"/>
          <w:b/>
          <w:color w:val="auto"/>
          <w:sz w:val="28"/>
          <w:szCs w:val="24"/>
        </w:rPr>
      </w:pPr>
    </w:p>
    <w:p>
      <w:pPr>
        <w:jc w:val="center"/>
        <w:rPr>
          <w:rFonts w:ascii="宋体" w:hAnsi="宋体" w:cs="宋体"/>
          <w:b/>
          <w:color w:val="auto"/>
          <w:sz w:val="30"/>
          <w:szCs w:val="30"/>
        </w:rPr>
      </w:pPr>
      <w:r>
        <w:rPr>
          <w:rFonts w:hint="eastAsia" w:ascii="宋体" w:hAnsi="宋体" w:cs="宋体"/>
          <w:b/>
          <w:color w:val="auto"/>
          <w:sz w:val="36"/>
          <w:szCs w:val="36"/>
        </w:rPr>
        <w:t>目 录</w:t>
      </w:r>
    </w:p>
    <w:p>
      <w:pPr>
        <w:pStyle w:val="23"/>
        <w:tabs>
          <w:tab w:val="right" w:leader="dot" w:pos="8302"/>
        </w:tabs>
        <w:rPr>
          <w:rFonts w:ascii="宋体" w:hAnsi="宋体" w:cs="宋体"/>
          <w:b/>
          <w:color w:val="auto"/>
          <w:kern w:val="2"/>
          <w:sz w:val="24"/>
          <w:szCs w:val="24"/>
        </w:rPr>
      </w:pP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TOC \o "1-3" \h \z \u </w:instrText>
      </w:r>
      <w:r>
        <w:rPr>
          <w:rFonts w:hint="eastAsia" w:ascii="宋体" w:hAnsi="宋体" w:cs="宋体"/>
          <w:b/>
          <w:color w:val="auto"/>
          <w:sz w:val="24"/>
          <w:szCs w:val="24"/>
        </w:rPr>
        <w:fldChar w:fldCharType="separate"/>
      </w:r>
      <w:r>
        <w:rPr>
          <w:color w:val="auto"/>
        </w:rPr>
        <w:fldChar w:fldCharType="begin"/>
      </w:r>
      <w:r>
        <w:rPr>
          <w:color w:val="auto"/>
        </w:rPr>
        <w:instrText xml:space="preserve"> HYPERLINK \l "_Toc521247249" </w:instrText>
      </w:r>
      <w:r>
        <w:rPr>
          <w:color w:val="auto"/>
        </w:rPr>
        <w:fldChar w:fldCharType="separate"/>
      </w:r>
      <w:r>
        <w:rPr>
          <w:rStyle w:val="38"/>
          <w:rFonts w:hint="eastAsia" w:ascii="宋体" w:hAnsi="宋体" w:cs="宋体"/>
          <w:b/>
          <w:color w:val="auto"/>
          <w:sz w:val="24"/>
          <w:szCs w:val="24"/>
        </w:rPr>
        <w:t>第一部分 投标邀请函</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_Toc521247249 \h </w:instrText>
      </w:r>
      <w:r>
        <w:rPr>
          <w:rFonts w:hint="eastAsia" w:ascii="宋体" w:hAnsi="宋体" w:cs="宋体"/>
          <w:b/>
          <w:color w:val="auto"/>
          <w:sz w:val="24"/>
          <w:szCs w:val="24"/>
        </w:rPr>
        <w:fldChar w:fldCharType="separate"/>
      </w:r>
      <w:r>
        <w:rPr>
          <w:rFonts w:hint="eastAsia" w:ascii="宋体" w:hAnsi="宋体" w:cs="宋体"/>
          <w:b/>
          <w:color w:val="auto"/>
          <w:sz w:val="24"/>
          <w:szCs w:val="24"/>
        </w:rPr>
        <w:t>4</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3"/>
        <w:tabs>
          <w:tab w:val="right" w:leader="dot" w:pos="8302"/>
        </w:tabs>
        <w:rPr>
          <w:rFonts w:ascii="宋体" w:hAnsi="宋体" w:cs="宋体"/>
          <w:b/>
          <w:color w:val="auto"/>
          <w:kern w:val="2"/>
          <w:sz w:val="24"/>
          <w:szCs w:val="24"/>
        </w:rPr>
      </w:pPr>
      <w:r>
        <w:rPr>
          <w:color w:val="auto"/>
        </w:rPr>
        <w:fldChar w:fldCharType="begin"/>
      </w:r>
      <w:r>
        <w:rPr>
          <w:color w:val="auto"/>
        </w:rPr>
        <w:instrText xml:space="preserve"> HYPERLINK \l "_Toc521247250" </w:instrText>
      </w:r>
      <w:r>
        <w:rPr>
          <w:color w:val="auto"/>
        </w:rPr>
        <w:fldChar w:fldCharType="separate"/>
      </w:r>
      <w:r>
        <w:rPr>
          <w:rStyle w:val="38"/>
          <w:rFonts w:hint="eastAsia" w:ascii="宋体" w:hAnsi="宋体" w:cs="宋体"/>
          <w:b/>
          <w:color w:val="auto"/>
          <w:sz w:val="24"/>
          <w:szCs w:val="24"/>
        </w:rPr>
        <w:t>第二部分 招标项目要求</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_Toc521247250 \h </w:instrText>
      </w:r>
      <w:r>
        <w:rPr>
          <w:rFonts w:hint="eastAsia" w:ascii="宋体" w:hAnsi="宋体" w:cs="宋体"/>
          <w:b/>
          <w:color w:val="auto"/>
          <w:sz w:val="24"/>
          <w:szCs w:val="24"/>
        </w:rPr>
        <w:fldChar w:fldCharType="separate"/>
      </w:r>
      <w:r>
        <w:rPr>
          <w:rFonts w:hint="eastAsia" w:ascii="宋体" w:hAnsi="宋体" w:cs="宋体"/>
          <w:b/>
          <w:color w:val="auto"/>
          <w:sz w:val="24"/>
          <w:szCs w:val="24"/>
        </w:rPr>
        <w:t>9</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3"/>
        <w:tabs>
          <w:tab w:val="right" w:leader="dot" w:pos="8302"/>
        </w:tabs>
        <w:rPr>
          <w:rFonts w:ascii="宋体" w:hAnsi="宋体" w:cs="宋体"/>
          <w:b/>
          <w:color w:val="auto"/>
          <w:kern w:val="2"/>
          <w:sz w:val="24"/>
          <w:szCs w:val="24"/>
        </w:rPr>
      </w:pPr>
      <w:r>
        <w:rPr>
          <w:color w:val="auto"/>
        </w:rPr>
        <w:fldChar w:fldCharType="begin"/>
      </w:r>
      <w:r>
        <w:rPr>
          <w:color w:val="auto"/>
        </w:rPr>
        <w:instrText xml:space="preserve"> HYPERLINK \l "_Toc521247251" </w:instrText>
      </w:r>
      <w:r>
        <w:rPr>
          <w:color w:val="auto"/>
        </w:rPr>
        <w:fldChar w:fldCharType="separate"/>
      </w:r>
      <w:r>
        <w:rPr>
          <w:rStyle w:val="38"/>
          <w:rFonts w:hint="eastAsia" w:ascii="宋体" w:hAnsi="宋体" w:cs="宋体"/>
          <w:b/>
          <w:color w:val="auto"/>
          <w:sz w:val="24"/>
          <w:szCs w:val="24"/>
        </w:rPr>
        <w:t>第三部分 投标须知</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_Toc521247251 \h </w:instrText>
      </w:r>
      <w:r>
        <w:rPr>
          <w:rFonts w:hint="eastAsia" w:ascii="宋体" w:hAnsi="宋体" w:cs="宋体"/>
          <w:b/>
          <w:color w:val="auto"/>
          <w:sz w:val="24"/>
          <w:szCs w:val="24"/>
        </w:rPr>
        <w:fldChar w:fldCharType="separate"/>
      </w:r>
      <w:r>
        <w:rPr>
          <w:rFonts w:hint="eastAsia" w:ascii="宋体" w:hAnsi="宋体" w:cs="宋体"/>
          <w:b/>
          <w:color w:val="auto"/>
          <w:sz w:val="24"/>
          <w:szCs w:val="24"/>
        </w:rPr>
        <w:t>22</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3"/>
        <w:tabs>
          <w:tab w:val="right" w:leader="dot" w:pos="8302"/>
        </w:tabs>
        <w:rPr>
          <w:rFonts w:ascii="宋体" w:hAnsi="宋体" w:cs="宋体"/>
          <w:b/>
          <w:color w:val="auto"/>
          <w:kern w:val="2"/>
          <w:sz w:val="24"/>
          <w:szCs w:val="24"/>
        </w:rPr>
      </w:pPr>
      <w:r>
        <w:rPr>
          <w:color w:val="auto"/>
        </w:rPr>
        <w:fldChar w:fldCharType="begin"/>
      </w:r>
      <w:r>
        <w:rPr>
          <w:color w:val="auto"/>
        </w:rPr>
        <w:instrText xml:space="preserve"> HYPERLINK \l "_Toc521247252" </w:instrText>
      </w:r>
      <w:r>
        <w:rPr>
          <w:color w:val="auto"/>
        </w:rPr>
        <w:fldChar w:fldCharType="separate"/>
      </w:r>
      <w:r>
        <w:rPr>
          <w:rStyle w:val="38"/>
          <w:rFonts w:hint="eastAsia" w:ascii="宋体" w:hAnsi="宋体" w:cs="宋体"/>
          <w:b/>
          <w:color w:val="auto"/>
          <w:sz w:val="24"/>
          <w:szCs w:val="24"/>
        </w:rPr>
        <w:t>第四部分 合同条款</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_Toc521247252 \h </w:instrText>
      </w:r>
      <w:r>
        <w:rPr>
          <w:rFonts w:hint="eastAsia" w:ascii="宋体" w:hAnsi="宋体" w:cs="宋体"/>
          <w:b/>
          <w:color w:val="auto"/>
          <w:sz w:val="24"/>
          <w:szCs w:val="24"/>
        </w:rPr>
        <w:fldChar w:fldCharType="separate"/>
      </w:r>
      <w:r>
        <w:rPr>
          <w:rFonts w:hint="eastAsia" w:ascii="宋体" w:hAnsi="宋体" w:cs="宋体"/>
          <w:b/>
          <w:color w:val="auto"/>
          <w:sz w:val="24"/>
          <w:szCs w:val="24"/>
        </w:rPr>
        <w:t>41</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3"/>
        <w:tabs>
          <w:tab w:val="right" w:leader="dot" w:pos="8302"/>
        </w:tabs>
        <w:rPr>
          <w:rFonts w:ascii="宋体" w:hAnsi="宋体" w:cs="宋体"/>
          <w:b/>
          <w:color w:val="auto"/>
          <w:kern w:val="2"/>
          <w:sz w:val="24"/>
          <w:szCs w:val="24"/>
        </w:rPr>
      </w:pPr>
      <w:r>
        <w:rPr>
          <w:color w:val="auto"/>
        </w:rPr>
        <w:fldChar w:fldCharType="begin"/>
      </w:r>
      <w:r>
        <w:rPr>
          <w:color w:val="auto"/>
        </w:rPr>
        <w:instrText xml:space="preserve"> HYPERLINK \l "_Toc521247253" </w:instrText>
      </w:r>
      <w:r>
        <w:rPr>
          <w:color w:val="auto"/>
        </w:rPr>
        <w:fldChar w:fldCharType="separate"/>
      </w:r>
      <w:r>
        <w:rPr>
          <w:rStyle w:val="38"/>
          <w:rFonts w:hint="eastAsia" w:ascii="宋体" w:hAnsi="宋体" w:cs="宋体"/>
          <w:b/>
          <w:color w:val="auto"/>
          <w:sz w:val="24"/>
          <w:szCs w:val="24"/>
        </w:rPr>
        <w:t>第五部分 投标文件格式</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_Toc521247253 \h </w:instrText>
      </w:r>
      <w:r>
        <w:rPr>
          <w:rFonts w:hint="eastAsia" w:ascii="宋体" w:hAnsi="宋体" w:cs="宋体"/>
          <w:b/>
          <w:color w:val="auto"/>
          <w:sz w:val="24"/>
          <w:szCs w:val="24"/>
        </w:rPr>
        <w:fldChar w:fldCharType="separate"/>
      </w:r>
      <w:r>
        <w:rPr>
          <w:rFonts w:hint="eastAsia" w:ascii="宋体" w:hAnsi="宋体" w:cs="宋体"/>
          <w:b/>
          <w:color w:val="auto"/>
          <w:sz w:val="24"/>
          <w:szCs w:val="24"/>
        </w:rPr>
        <w:t>48</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rPr>
          <w:rFonts w:ascii="宋体" w:hAnsi="宋体" w:cs="宋体"/>
          <w:color w:val="auto"/>
          <w:sz w:val="24"/>
          <w:szCs w:val="24"/>
        </w:rPr>
      </w:pPr>
      <w:r>
        <w:rPr>
          <w:rFonts w:hint="eastAsia" w:ascii="宋体" w:hAnsi="宋体" w:cs="宋体"/>
          <w:b/>
          <w:color w:val="auto"/>
          <w:sz w:val="24"/>
          <w:szCs w:val="24"/>
        </w:rPr>
        <w:fldChar w:fldCharType="end"/>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tabs>
          <w:tab w:val="left" w:pos="3451"/>
        </w:tabs>
        <w:rPr>
          <w:rFonts w:ascii="宋体" w:hAnsi="宋体" w:cs="宋体"/>
          <w:color w:val="auto"/>
          <w:sz w:val="24"/>
          <w:szCs w:val="24"/>
        </w:rPr>
      </w:pPr>
      <w:r>
        <w:rPr>
          <w:rFonts w:hint="eastAsia" w:ascii="宋体" w:hAnsi="宋体" w:cs="宋体"/>
          <w:color w:val="auto"/>
          <w:sz w:val="24"/>
          <w:szCs w:val="24"/>
        </w:rPr>
        <w:tab/>
      </w:r>
    </w:p>
    <w:p>
      <w:pPr>
        <w:rPr>
          <w:rFonts w:ascii="宋体" w:hAnsi="宋体" w:cs="宋体"/>
          <w:color w:val="auto"/>
          <w:sz w:val="24"/>
          <w:szCs w:val="24"/>
        </w:rPr>
      </w:pPr>
      <w:bookmarkStart w:id="0" w:name="_Toc412903614"/>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tabs>
          <w:tab w:val="center" w:pos="4156"/>
        </w:tabs>
        <w:rPr>
          <w:rFonts w:ascii="宋体" w:hAnsi="宋体" w:cs="宋体"/>
          <w:color w:val="auto"/>
          <w:sz w:val="24"/>
          <w:szCs w:val="24"/>
        </w:rPr>
        <w:sectPr>
          <w:headerReference r:id="rId6" w:type="first"/>
          <w:headerReference r:id="rId5" w:type="default"/>
          <w:footerReference r:id="rId7" w:type="default"/>
          <w:pgSz w:w="11906" w:h="16838"/>
          <w:pgMar w:top="1440" w:right="1587" w:bottom="1440" w:left="1587" w:header="851" w:footer="567" w:gutter="0"/>
          <w:pgNumType w:start="2"/>
          <w:cols w:space="0" w:num="1"/>
          <w:titlePg/>
          <w:docGrid w:type="linesAndChars" w:linePitch="310" w:charSpace="-2499"/>
        </w:sectPr>
      </w:pPr>
      <w:r>
        <w:rPr>
          <w:rFonts w:hint="eastAsia" w:ascii="宋体" w:hAnsi="宋体" w:cs="宋体"/>
          <w:color w:val="auto"/>
          <w:sz w:val="24"/>
          <w:szCs w:val="24"/>
        </w:rPr>
        <w:tab/>
      </w:r>
    </w:p>
    <w:p>
      <w:pPr>
        <w:pStyle w:val="3"/>
        <w:jc w:val="center"/>
        <w:rPr>
          <w:rFonts w:ascii="宋体" w:hAnsi="宋体" w:cs="宋体"/>
          <w:color w:val="auto"/>
          <w:sz w:val="30"/>
          <w:szCs w:val="30"/>
        </w:rPr>
      </w:pPr>
      <w:bookmarkStart w:id="1" w:name="_Toc521247249"/>
      <w:r>
        <w:rPr>
          <w:rFonts w:hint="eastAsia" w:ascii="宋体" w:hAnsi="宋体" w:cs="宋体"/>
          <w:color w:val="auto"/>
          <w:sz w:val="30"/>
          <w:szCs w:val="30"/>
        </w:rPr>
        <w:t>第一部分 投标邀请函</w:t>
      </w:r>
      <w:bookmarkEnd w:id="0"/>
      <w:bookmarkEnd w:id="1"/>
    </w:p>
    <w:p>
      <w:pPr>
        <w:spacing w:after="0" w:line="540" w:lineRule="exact"/>
        <w:ind w:firstLine="447" w:firstLineChars="196"/>
        <w:rPr>
          <w:rFonts w:ascii="宋体" w:hAnsi="宋体" w:cs="宋体"/>
          <w:color w:val="auto"/>
          <w:sz w:val="24"/>
          <w:szCs w:val="24"/>
        </w:rPr>
      </w:pPr>
      <w:bookmarkStart w:id="2" w:name="_Toc515196711"/>
      <w:r>
        <w:rPr>
          <w:rFonts w:hint="eastAsia" w:ascii="宋体" w:hAnsi="宋体" w:cs="宋体"/>
          <w:color w:val="auto"/>
          <w:sz w:val="24"/>
          <w:szCs w:val="24"/>
        </w:rPr>
        <w:t>受</w:t>
      </w:r>
      <w:r>
        <w:rPr>
          <w:rFonts w:hint="eastAsia" w:ascii="宋体" w:hAnsi="宋体" w:eastAsia="宋体" w:cs="宋体"/>
          <w:color w:val="auto"/>
          <w:sz w:val="24"/>
          <w:szCs w:val="24"/>
          <w:lang w:eastAsia="zh-CN"/>
        </w:rPr>
        <w:t>天津中医药大学</w:t>
      </w:r>
      <w:r>
        <w:rPr>
          <w:rFonts w:hint="eastAsia" w:ascii="宋体" w:hAnsi="宋体" w:cs="宋体"/>
          <w:color w:val="auto"/>
          <w:sz w:val="24"/>
          <w:szCs w:val="24"/>
        </w:rPr>
        <w:t>委托，天津晟辰工程造价咨询有限公司将以公开招标方式，对</w:t>
      </w:r>
      <w:r>
        <w:rPr>
          <w:rFonts w:hint="eastAsia" w:ascii="宋体" w:hAnsi="宋体" w:cs="宋体"/>
          <w:color w:val="auto"/>
          <w:sz w:val="24"/>
          <w:szCs w:val="24"/>
          <w:lang w:val="en-US" w:eastAsia="zh-CN"/>
        </w:rPr>
        <w:t>超高效液相色谱-串联四极杆质谱联用仪设备购置项目</w:t>
      </w:r>
      <w:r>
        <w:rPr>
          <w:rFonts w:hint="eastAsia" w:ascii="宋体" w:hAnsi="宋体" w:cs="宋体"/>
          <w:color w:val="auto"/>
          <w:sz w:val="24"/>
          <w:szCs w:val="24"/>
        </w:rPr>
        <w:t>实施政府采购。现欢迎合格的供应商参加投标。</w:t>
      </w:r>
      <w:bookmarkEnd w:id="2"/>
    </w:p>
    <w:p>
      <w:pPr>
        <w:spacing w:after="0" w:line="540" w:lineRule="exact"/>
        <w:rPr>
          <w:rFonts w:ascii="宋体" w:hAnsi="宋体" w:cs="宋体"/>
          <w:color w:val="auto"/>
          <w:sz w:val="24"/>
          <w:szCs w:val="24"/>
        </w:rPr>
      </w:pPr>
      <w:r>
        <w:rPr>
          <w:rFonts w:hint="eastAsia" w:ascii="宋体" w:hAnsi="宋体" w:cs="宋体"/>
          <w:color w:val="auto"/>
          <w:sz w:val="24"/>
          <w:szCs w:val="24"/>
        </w:rPr>
        <w:t>一、项目名称和编号</w:t>
      </w:r>
    </w:p>
    <w:p>
      <w:pPr>
        <w:spacing w:after="0" w:line="540" w:lineRule="exact"/>
        <w:rPr>
          <w:rFonts w:ascii="宋体" w:hAnsi="宋体" w:cs="宋体"/>
          <w:color w:val="auto"/>
          <w:sz w:val="21"/>
          <w:szCs w:val="21"/>
        </w:rPr>
      </w:pPr>
      <w:r>
        <w:rPr>
          <w:rFonts w:hint="eastAsia" w:ascii="宋体" w:hAnsi="宋体" w:cs="宋体"/>
          <w:color w:val="auto"/>
          <w:sz w:val="24"/>
          <w:szCs w:val="24"/>
        </w:rPr>
        <w:t>（一）项目名称：</w:t>
      </w:r>
      <w:r>
        <w:rPr>
          <w:rFonts w:hint="eastAsia" w:ascii="宋体" w:hAnsi="宋体" w:cs="宋体"/>
          <w:color w:val="auto"/>
          <w:sz w:val="24"/>
          <w:szCs w:val="24"/>
          <w:lang w:val="en-US" w:eastAsia="zh-CN"/>
        </w:rPr>
        <w:t>超高效液相色谱-串联四极杆质谱联用仪设备购置项目</w:t>
      </w:r>
    </w:p>
    <w:p>
      <w:pPr>
        <w:spacing w:after="0" w:line="540" w:lineRule="exact"/>
        <w:rPr>
          <w:rFonts w:hint="default" w:ascii="宋体" w:hAnsi="宋体" w:eastAsia="宋体" w:cs="宋体"/>
          <w:color w:val="auto"/>
          <w:lang w:val="en-US" w:eastAsia="zh-CN"/>
        </w:rPr>
      </w:pPr>
      <w:r>
        <w:rPr>
          <w:rFonts w:hint="eastAsia" w:ascii="宋体" w:hAnsi="宋体" w:cs="宋体"/>
          <w:color w:val="auto"/>
          <w:sz w:val="24"/>
          <w:szCs w:val="24"/>
        </w:rPr>
        <w:t>（二）项目编号：SCGP-</w:t>
      </w:r>
      <w:r>
        <w:rPr>
          <w:rFonts w:hint="eastAsia" w:ascii="宋体" w:hAnsi="宋体" w:cs="宋体"/>
          <w:color w:val="auto"/>
          <w:sz w:val="24"/>
          <w:szCs w:val="24"/>
          <w:lang w:val="en-US" w:eastAsia="zh-CN"/>
        </w:rPr>
        <w:t>2022</w:t>
      </w:r>
      <w:r>
        <w:rPr>
          <w:rFonts w:hint="eastAsia" w:ascii="宋体" w:hAnsi="宋体" w:cs="宋体"/>
          <w:color w:val="auto"/>
          <w:sz w:val="24"/>
          <w:szCs w:val="24"/>
        </w:rPr>
        <w:t>-H-10</w:t>
      </w:r>
      <w:r>
        <w:rPr>
          <w:rFonts w:hint="eastAsia" w:ascii="宋体" w:hAnsi="宋体" w:cs="宋体"/>
          <w:color w:val="auto"/>
          <w:sz w:val="24"/>
          <w:szCs w:val="24"/>
          <w:lang w:val="en-US" w:eastAsia="zh-CN"/>
        </w:rPr>
        <w:t>03</w:t>
      </w:r>
    </w:p>
    <w:p>
      <w:pPr>
        <w:spacing w:after="0" w:line="540" w:lineRule="exact"/>
        <w:rPr>
          <w:rFonts w:ascii="宋体" w:hAnsi="宋体" w:cs="宋体"/>
          <w:color w:val="auto"/>
          <w:sz w:val="24"/>
          <w:szCs w:val="24"/>
        </w:rPr>
      </w:pPr>
      <w:r>
        <w:rPr>
          <w:rFonts w:hint="eastAsia" w:ascii="宋体" w:hAnsi="宋体" w:cs="宋体"/>
          <w:color w:val="auto"/>
          <w:sz w:val="24"/>
          <w:szCs w:val="24"/>
        </w:rPr>
        <w:t>二、项目内容</w:t>
      </w:r>
    </w:p>
    <w:p>
      <w:pPr>
        <w:spacing w:after="0" w:line="540" w:lineRule="exact"/>
        <w:rPr>
          <w:rFonts w:ascii="宋体" w:hAnsi="宋体" w:cs="宋体"/>
          <w:color w:val="auto"/>
          <w:sz w:val="24"/>
          <w:szCs w:val="24"/>
        </w:rPr>
      </w:pPr>
      <w:bookmarkStart w:id="3" w:name="_Toc515196712"/>
      <w:r>
        <w:rPr>
          <w:rFonts w:hint="eastAsia" w:ascii="宋体" w:hAnsi="宋体" w:cs="宋体"/>
          <w:color w:val="auto"/>
          <w:sz w:val="24"/>
          <w:szCs w:val="24"/>
          <w:lang w:val="en-US" w:eastAsia="zh-CN"/>
        </w:rPr>
        <w:t xml:space="preserve">    1.</w:t>
      </w:r>
      <w:r>
        <w:rPr>
          <w:rFonts w:hint="eastAsia" w:ascii="宋体" w:hAnsi="宋体" w:eastAsia="宋体" w:cs="宋体"/>
          <w:color w:val="auto"/>
          <w:sz w:val="24"/>
          <w:szCs w:val="24"/>
          <w:lang w:eastAsia="zh-CN"/>
        </w:rPr>
        <w:t>超高效液相色谱-串联四极杆质谱联用仪设备购置项目</w:t>
      </w:r>
      <w:r>
        <w:rPr>
          <w:rFonts w:hint="eastAsia" w:ascii="宋体" w:hAnsi="宋体" w:cs="宋体"/>
          <w:color w:val="auto"/>
          <w:sz w:val="24"/>
          <w:szCs w:val="24"/>
        </w:rPr>
        <w:t>(具体详见项目需求书)</w:t>
      </w:r>
      <w:bookmarkEnd w:id="3"/>
    </w:p>
    <w:p>
      <w:pPr>
        <w:spacing w:after="0" w:line="540" w:lineRule="exact"/>
        <w:ind w:firstLine="456" w:firstLineChars="200"/>
        <w:rPr>
          <w:rFonts w:ascii="宋体" w:hAnsi="宋体"/>
          <w:color w:val="auto"/>
          <w:sz w:val="24"/>
          <w:szCs w:val="24"/>
        </w:rPr>
      </w:pPr>
      <w:r>
        <w:rPr>
          <w:rFonts w:hint="eastAsia" w:ascii="宋体" w:hAnsi="宋体"/>
          <w:color w:val="auto"/>
          <w:sz w:val="24"/>
          <w:szCs w:val="24"/>
        </w:rPr>
        <w:t>2</w:t>
      </w:r>
      <w:r>
        <w:rPr>
          <w:rFonts w:hint="eastAsia" w:ascii="宋体" w:hAnsi="宋体"/>
          <w:color w:val="auto"/>
          <w:sz w:val="24"/>
          <w:szCs w:val="24"/>
          <w:lang w:val="en-US" w:eastAsia="zh-CN"/>
        </w:rPr>
        <w:t>.</w:t>
      </w:r>
      <w:r>
        <w:rPr>
          <w:rFonts w:hint="eastAsia" w:ascii="宋体" w:hAnsi="宋体"/>
          <w:color w:val="auto"/>
          <w:sz w:val="24"/>
          <w:szCs w:val="24"/>
        </w:rPr>
        <w:t>根据《政府采购进口产品管理办法》（财库〔2007〕119号）规定，经财政部门审核同意，本项目允许进口产品投标，同时也接受满足需求的国内产品参与投标。</w:t>
      </w:r>
    </w:p>
    <w:p>
      <w:pPr>
        <w:spacing w:after="0" w:line="520" w:lineRule="exact"/>
        <w:ind w:firstLine="456" w:firstLineChars="200"/>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highlight w:val="none"/>
          <w:lang w:val="en-US" w:eastAsia="zh-CN"/>
        </w:rPr>
        <w:t>供应商投标时须提供所投产品详细配置清单，该清单作为验收的依据。清单内容应包括详细配置及技术标准，并与交货时向采购人提供的产品说明书内容一致。</w:t>
      </w:r>
    </w:p>
    <w:p>
      <w:pPr>
        <w:numPr>
          <w:ilvl w:val="0"/>
          <w:numId w:val="1"/>
        </w:numPr>
        <w:spacing w:after="0" w:line="540" w:lineRule="exact"/>
        <w:rPr>
          <w:rFonts w:ascii="宋体" w:hAnsi="宋体" w:cs="宋体"/>
          <w:color w:val="auto"/>
          <w:sz w:val="24"/>
          <w:szCs w:val="24"/>
        </w:rPr>
      </w:pPr>
      <w:r>
        <w:rPr>
          <w:rFonts w:hint="eastAsia" w:ascii="宋体" w:hAnsi="宋体" w:cs="宋体"/>
          <w:color w:val="auto"/>
          <w:sz w:val="24"/>
          <w:szCs w:val="24"/>
        </w:rPr>
        <w:t>项目预算：</w:t>
      </w:r>
      <w:r>
        <w:rPr>
          <w:rFonts w:hint="eastAsia" w:ascii="宋体" w:hAnsi="宋体" w:cs="宋体"/>
          <w:color w:val="auto"/>
          <w:sz w:val="24"/>
          <w:szCs w:val="24"/>
          <w:lang w:val="en-US" w:eastAsia="zh-CN"/>
        </w:rPr>
        <w:t>290</w:t>
      </w:r>
      <w:r>
        <w:rPr>
          <w:rFonts w:hint="eastAsia" w:ascii="宋体" w:hAnsi="宋体" w:cs="宋体"/>
          <w:color w:val="auto"/>
          <w:sz w:val="24"/>
          <w:szCs w:val="24"/>
        </w:rPr>
        <w:t xml:space="preserve">万元 </w:t>
      </w:r>
    </w:p>
    <w:p>
      <w:pPr>
        <w:spacing w:after="0" w:line="540" w:lineRule="exact"/>
        <w:rPr>
          <w:rFonts w:ascii="宋体" w:hAnsi="宋体" w:cs="宋体"/>
          <w:color w:val="auto"/>
          <w:sz w:val="24"/>
          <w:szCs w:val="24"/>
        </w:rPr>
      </w:pPr>
      <w:r>
        <w:rPr>
          <w:rFonts w:hint="eastAsia" w:ascii="宋体" w:hAnsi="宋体" w:cs="宋体"/>
          <w:color w:val="auto"/>
          <w:sz w:val="24"/>
          <w:szCs w:val="24"/>
        </w:rPr>
        <w:t>四、项目需要落实的政府采购政策</w:t>
      </w:r>
    </w:p>
    <w:p>
      <w:pPr>
        <w:keepNext w:val="0"/>
        <w:keepLines w:val="0"/>
        <w:pageBreakBefore w:val="0"/>
        <w:kinsoku/>
        <w:wordWrap/>
        <w:overflowPunct/>
        <w:topLinePunct w:val="0"/>
        <w:bidi w:val="0"/>
        <w:snapToGrid/>
        <w:spacing w:after="0" w:line="560" w:lineRule="exact"/>
        <w:ind w:firstLine="456"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（一）根据财政部、工业和信息化部关于《政府采购促进中小企业发展</w:t>
      </w:r>
      <w:r>
        <w:rPr>
          <w:rFonts w:hint="eastAsia" w:ascii="宋体" w:hAnsi="宋体" w:eastAsia="宋体" w:cs="宋体"/>
          <w:color w:val="auto"/>
          <w:sz w:val="24"/>
          <w:szCs w:val="24"/>
          <w:lang w:val="en-US" w:eastAsia="zh-CN"/>
        </w:rPr>
        <w:t>管理</w:t>
      </w:r>
      <w:r>
        <w:rPr>
          <w:rFonts w:hint="eastAsia" w:ascii="宋体" w:hAnsi="宋体" w:eastAsia="宋体" w:cs="宋体"/>
          <w:color w:val="auto"/>
          <w:sz w:val="24"/>
          <w:szCs w:val="24"/>
        </w:rPr>
        <w:t>办法》（财库[2020]46号）规定，</w:t>
      </w:r>
      <w:r>
        <w:rPr>
          <w:rFonts w:hint="eastAsia" w:ascii="宋体" w:hAnsi="宋体" w:eastAsia="宋体" w:cs="宋体"/>
          <w:i w:val="0"/>
          <w:iCs w:val="0"/>
          <w:caps w:val="0"/>
          <w:color w:val="auto"/>
          <w:spacing w:val="0"/>
          <w:kern w:val="0"/>
          <w:sz w:val="24"/>
          <w:szCs w:val="24"/>
          <w:shd w:val="clear" w:color="auto" w:fill="FFFFFF"/>
          <w:lang w:val="en-US" w:eastAsia="zh-CN" w:bidi="ar"/>
        </w:rPr>
        <w:t>全部货物均由中小企业制造的，对符合规定的小型和微型企业制造的产品的价格给予</w:t>
      </w:r>
      <w:r>
        <w:rPr>
          <w:rFonts w:hint="eastAsia" w:ascii="宋体" w:hAnsi="宋体" w:cs="宋体"/>
          <w:i w:val="0"/>
          <w:iCs w:val="0"/>
          <w:caps w:val="0"/>
          <w:color w:val="auto"/>
          <w:spacing w:val="0"/>
          <w:kern w:val="0"/>
          <w:sz w:val="24"/>
          <w:szCs w:val="24"/>
          <w:shd w:val="clear" w:color="auto" w:fill="FFFFFF"/>
          <w:lang w:val="en-US" w:eastAsia="zh-CN" w:bidi="ar"/>
        </w:rPr>
        <w:t>20%</w:t>
      </w:r>
      <w:r>
        <w:rPr>
          <w:rFonts w:hint="eastAsia" w:ascii="宋体" w:hAnsi="宋体" w:eastAsia="宋体" w:cs="宋体"/>
          <w:i w:val="0"/>
          <w:iCs w:val="0"/>
          <w:caps w:val="0"/>
          <w:color w:val="auto"/>
          <w:spacing w:val="0"/>
          <w:kern w:val="0"/>
          <w:sz w:val="24"/>
          <w:szCs w:val="24"/>
          <w:shd w:val="clear" w:color="auto" w:fill="FFFFFF"/>
          <w:lang w:val="en-US" w:eastAsia="zh-CN" w:bidi="ar"/>
        </w:rPr>
        <w:t>的扣除。货物既有中小企业制造的货物，也有大型企业制造的货物，不享受此扶持政策。</w:t>
      </w:r>
    </w:p>
    <w:p>
      <w:pPr>
        <w:keepNext w:val="0"/>
        <w:keepLines w:val="0"/>
        <w:pageBreakBefore w:val="0"/>
        <w:kinsoku/>
        <w:wordWrap/>
        <w:overflowPunct/>
        <w:topLinePunct w:val="0"/>
        <w:bidi w:val="0"/>
        <w:snapToGrid/>
        <w:spacing w:after="0" w:line="560" w:lineRule="exact"/>
        <w:ind w:firstLine="456"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（二）根据财政部发布的《关于政府采购支持监狱企业发展有关问题的通知》规定，本项目对监狱企业产品的价格给予</w:t>
      </w:r>
      <w:r>
        <w:rPr>
          <w:rFonts w:hint="eastAsia" w:ascii="宋体" w:hAnsi="宋体" w:cs="宋体"/>
          <w:color w:val="auto"/>
          <w:sz w:val="24"/>
          <w:szCs w:val="24"/>
          <w:lang w:val="en-US" w:eastAsia="zh-CN"/>
        </w:rPr>
        <w:t>20%</w:t>
      </w:r>
      <w:r>
        <w:rPr>
          <w:rFonts w:hint="eastAsia" w:ascii="宋体" w:hAnsi="宋体" w:eastAsia="宋体" w:cs="宋体"/>
          <w:color w:val="auto"/>
          <w:sz w:val="24"/>
          <w:szCs w:val="24"/>
        </w:rPr>
        <w:t>的扣除。</w:t>
      </w:r>
    </w:p>
    <w:p>
      <w:pPr>
        <w:keepNext w:val="0"/>
        <w:keepLines w:val="0"/>
        <w:pageBreakBefore w:val="0"/>
        <w:kinsoku/>
        <w:wordWrap/>
        <w:overflowPunct/>
        <w:topLinePunct w:val="0"/>
        <w:bidi w:val="0"/>
        <w:snapToGrid/>
        <w:spacing w:after="0" w:line="560" w:lineRule="exact"/>
        <w:ind w:firstLine="456"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rPr>
        <w:t>）根据财政部、民政部、中国残疾人联合会发布的《关于促进残疾人就业政府采购政策的通知》规定，本项目对残疾人福利性单位产品的价格给予</w:t>
      </w:r>
      <w:r>
        <w:rPr>
          <w:rFonts w:hint="eastAsia" w:ascii="宋体" w:hAnsi="宋体" w:cs="宋体"/>
          <w:color w:val="auto"/>
          <w:sz w:val="24"/>
          <w:szCs w:val="24"/>
          <w:lang w:val="en-US" w:eastAsia="zh-CN"/>
        </w:rPr>
        <w:t>20%</w:t>
      </w:r>
      <w:r>
        <w:rPr>
          <w:rFonts w:hint="eastAsia" w:ascii="宋体" w:hAnsi="宋体" w:eastAsia="宋体" w:cs="宋体"/>
          <w:color w:val="auto"/>
          <w:sz w:val="24"/>
          <w:szCs w:val="24"/>
        </w:rPr>
        <w:t>的扣除。</w:t>
      </w:r>
    </w:p>
    <w:p>
      <w:pPr>
        <w:keepNext w:val="0"/>
        <w:keepLines w:val="0"/>
        <w:pageBreakBefore w:val="0"/>
        <w:kinsoku/>
        <w:wordWrap/>
        <w:overflowPunct/>
        <w:topLinePunct w:val="0"/>
        <w:bidi w:val="0"/>
        <w:snapToGrid/>
        <w:spacing w:after="0" w:line="560" w:lineRule="exact"/>
        <w:ind w:firstLine="456"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注：小微企业以</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填写的《中小企业声明函》为判定标准，残疾人福利性单位以</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填写的《残疾人福利性单位声明函》为判定标准，监狱企业须</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提供由省级以上监狱管理局、戒毒管理局（含新疆生产建设兵团）出具的属于监狱企业的证明文件，否则不予认定。以上政策不重复享受。</w:t>
      </w:r>
    </w:p>
    <w:p>
      <w:pPr>
        <w:keepNext w:val="0"/>
        <w:keepLines w:val="0"/>
        <w:pageBreakBefore w:val="0"/>
        <w:kinsoku/>
        <w:wordWrap/>
        <w:overflowPunct/>
        <w:topLinePunct w:val="0"/>
        <w:bidi w:val="0"/>
        <w:snapToGrid/>
        <w:spacing w:after="0" w:line="560" w:lineRule="exact"/>
        <w:ind w:firstLine="456"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四</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涉及商品包装或快递包装的，按照《财政部办公厅、生态环境部办公厅、国家邮政局办公室关于印发&lt;商品包装政府采购需求标准（试行）&gt;、&lt;快递包装政府采购需求标准（试行）&gt;的通知》（财办库〔2020〕123号）要求执行。</w:t>
      </w:r>
    </w:p>
    <w:p>
      <w:pPr>
        <w:keepNext w:val="0"/>
        <w:keepLines w:val="0"/>
        <w:pageBreakBefore w:val="0"/>
        <w:kinsoku/>
        <w:wordWrap/>
        <w:overflowPunct/>
        <w:topLinePunct w:val="0"/>
        <w:bidi w:val="0"/>
        <w:snapToGrid/>
        <w:spacing w:after="0" w:line="560" w:lineRule="exact"/>
        <w:ind w:firstLine="456"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五</w:t>
      </w:r>
      <w:r>
        <w:rPr>
          <w:rFonts w:hint="eastAsia" w:ascii="宋体" w:hAnsi="宋体" w:eastAsia="宋体" w:cs="宋体"/>
          <w:color w:val="auto"/>
          <w:sz w:val="24"/>
          <w:szCs w:val="24"/>
        </w:rPr>
        <w:t>）按照《财政部关于在政府采购活动中查询及使用信用记录有关问题的通知》（财库〔2016〕125号）的要求，根据响应文件开启当日、响应文件开启时间之前“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keepNext w:val="0"/>
        <w:keepLines w:val="0"/>
        <w:pageBreakBefore w:val="0"/>
        <w:kinsoku/>
        <w:wordWrap/>
        <w:overflowPunct/>
        <w:topLinePunct w:val="0"/>
        <w:bidi w:val="0"/>
        <w:snapToGrid/>
        <w:spacing w:after="0" w:line="560" w:lineRule="exact"/>
        <w:ind w:firstLine="456"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按照《关于调整优化节能产品、环境标志产品政府采购执行机制的通知》（财库〔2019〕9号）、《关于印发环境标志产品政府采购品目清单的通知》（财库〔2019〕18号）、《关于印发节能产品政府采购品目清单的通知》（财库〔2019〕19号）、《市场监管总局关于发布参与实施政府采购节能产品、环境标志产品认证机构名录的公告》（2019年第16号）等文件要求，对政府采购节能、环境标志品目清单内的产品实施优先采购和强制采购的评标方法。</w:t>
      </w:r>
    </w:p>
    <w:p>
      <w:pPr>
        <w:spacing w:after="0" w:line="540" w:lineRule="exact"/>
        <w:rPr>
          <w:rFonts w:ascii="宋体" w:hAnsi="宋体" w:cs="宋体"/>
          <w:color w:val="auto"/>
          <w:sz w:val="24"/>
          <w:szCs w:val="24"/>
        </w:rPr>
      </w:pPr>
      <w:r>
        <w:rPr>
          <w:rFonts w:hint="eastAsia" w:ascii="宋体" w:hAnsi="宋体" w:cs="宋体"/>
          <w:color w:val="auto"/>
          <w:sz w:val="24"/>
          <w:szCs w:val="24"/>
        </w:rPr>
        <w:t>五、供应商资格要求（实质性要求）</w:t>
      </w:r>
    </w:p>
    <w:p>
      <w:pPr>
        <w:spacing w:after="0" w:line="540" w:lineRule="exact"/>
        <w:ind w:firstLine="228" w:firstLineChars="1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（一）供应商须具备《中华人民共和国政府采购法》第二十二条规定的条件，提供以下材料：</w:t>
      </w:r>
    </w:p>
    <w:p>
      <w:pPr>
        <w:spacing w:after="0" w:line="540" w:lineRule="exact"/>
        <w:ind w:firstLine="228" w:firstLineChars="100"/>
        <w:rPr>
          <w:rFonts w:ascii="宋体" w:hAnsi="宋体" w:cs="宋体"/>
          <w:color w:val="auto"/>
          <w:sz w:val="24"/>
          <w:szCs w:val="24"/>
        </w:rPr>
      </w:pPr>
      <w:r>
        <w:rPr>
          <w:rFonts w:hint="eastAsia" w:ascii="宋体" w:hAnsi="宋体" w:cs="宋体"/>
          <w:color w:val="auto"/>
          <w:sz w:val="24"/>
          <w:szCs w:val="24"/>
        </w:rPr>
        <w:t>1、须提供营业执照副本或事业单位法人证书或民办非企业单位登记证书或社会团体法人登记证书或基金会法人登记证书，提供证书复印件并加盖公章。</w:t>
      </w:r>
    </w:p>
    <w:p>
      <w:pPr>
        <w:spacing w:after="0" w:line="540" w:lineRule="exact"/>
        <w:ind w:firstLine="224" w:firstLineChars="98"/>
        <w:rPr>
          <w:rFonts w:ascii="宋体" w:hAnsi="宋体" w:cs="宋体"/>
          <w:color w:val="auto"/>
          <w:sz w:val="24"/>
          <w:szCs w:val="24"/>
        </w:rPr>
      </w:pPr>
      <w:r>
        <w:rPr>
          <w:rFonts w:hint="eastAsia" w:ascii="宋体" w:hAnsi="宋体" w:cs="宋体"/>
          <w:color w:val="auto"/>
          <w:sz w:val="24"/>
          <w:szCs w:val="24"/>
        </w:rPr>
        <w:t>2、须提供</w:t>
      </w:r>
      <w:r>
        <w:rPr>
          <w:rFonts w:hint="eastAsia" w:ascii="宋体" w:hAnsi="宋体" w:eastAsia="宋体" w:cs="宋体"/>
          <w:color w:val="auto"/>
          <w:sz w:val="24"/>
          <w:szCs w:val="24"/>
        </w:rPr>
        <w:t>2020年度或2021年度经第三方会计师事务所审计的企业财务报告扫描件（应包括完整的审计报告和财务报表）</w:t>
      </w:r>
      <w:r>
        <w:rPr>
          <w:rFonts w:hint="eastAsia" w:ascii="宋体" w:hAnsi="宋体" w:cs="宋体"/>
          <w:color w:val="auto"/>
          <w:sz w:val="24"/>
          <w:szCs w:val="24"/>
        </w:rPr>
        <w:t>或开标前三个月内银行出具的资信证明，提供复印件并加盖公章。</w:t>
      </w:r>
    </w:p>
    <w:p>
      <w:pPr>
        <w:spacing w:after="0" w:line="540" w:lineRule="exact"/>
        <w:ind w:firstLine="224" w:firstLineChars="98"/>
        <w:rPr>
          <w:rFonts w:hint="eastAsia" w:ascii="宋体" w:hAnsi="宋体" w:eastAsia="宋体" w:cs="宋体"/>
          <w:color w:val="auto"/>
          <w:sz w:val="24"/>
          <w:szCs w:val="24"/>
        </w:rPr>
      </w:pPr>
      <w:r>
        <w:rPr>
          <w:rFonts w:hint="eastAsia" w:ascii="宋体" w:hAnsi="宋体" w:cs="宋体"/>
          <w:color w:val="auto"/>
          <w:sz w:val="24"/>
          <w:szCs w:val="24"/>
        </w:rPr>
        <w:t>3、</w:t>
      </w:r>
      <w:r>
        <w:rPr>
          <w:rFonts w:hint="eastAsia" w:ascii="宋体" w:hAnsi="宋体" w:eastAsia="宋体" w:cs="宋体"/>
          <w:color w:val="auto"/>
          <w:sz w:val="24"/>
          <w:szCs w:val="24"/>
        </w:rPr>
        <w:t>须提供2022年度至今任意一个月的依法缴纳税收和社会保险费（专用收据或社会保险缴纳清单等）的相关证明材料，的相关证明材料复印件并加盖公章。依法免税或不需要缴纳社会保障资金的投标人，应提供税务机关出具的依法免税的证明文件或社会保险基金管理部门出具的不需要缴纳社会保障资金的证明文件。</w:t>
      </w:r>
    </w:p>
    <w:p>
      <w:pPr>
        <w:spacing w:after="0" w:line="540" w:lineRule="exact"/>
        <w:ind w:firstLine="224" w:firstLineChars="98"/>
        <w:rPr>
          <w:rFonts w:ascii="宋体" w:hAnsi="宋体" w:cs="宋体"/>
          <w:color w:val="auto"/>
          <w:sz w:val="24"/>
          <w:szCs w:val="24"/>
        </w:rPr>
      </w:pPr>
      <w:r>
        <w:rPr>
          <w:rFonts w:hint="eastAsia" w:ascii="宋体" w:hAnsi="宋体" w:cs="宋体"/>
          <w:color w:val="auto"/>
          <w:sz w:val="24"/>
          <w:szCs w:val="24"/>
        </w:rPr>
        <w:t>4、须提供投标截止日前3年在经营活动中没有重大违法记录的书面声明（截至开标日成立不足3年的供应商可提供自成立以来无重大违法记录的书面声明）。</w:t>
      </w:r>
    </w:p>
    <w:p>
      <w:pPr>
        <w:spacing w:after="0" w:line="560" w:lineRule="exact"/>
        <w:ind w:firstLine="224" w:firstLineChars="98"/>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注：按照《财政部关于在政府采购活动中查询及使用信用记录有关问题的通知》（财库〔2016〕125号）的要求，实际查询结果以采购代理机构于开标当日、开标时间之前打印的信用中国、中国政府采购网的查询结果为准。</w:t>
      </w:r>
    </w:p>
    <w:p>
      <w:pPr>
        <w:spacing w:after="0" w:line="560" w:lineRule="exact"/>
        <w:ind w:firstLine="224" w:firstLineChars="98"/>
        <w:rPr>
          <w:rFonts w:ascii="宋体" w:hAnsi="宋体" w:cs="宋体"/>
          <w:color w:val="auto"/>
          <w:sz w:val="24"/>
          <w:szCs w:val="24"/>
        </w:rPr>
      </w:pPr>
      <w:r>
        <w:rPr>
          <w:rFonts w:hint="eastAsia" w:ascii="宋体" w:hAnsi="宋体" w:cs="宋体"/>
          <w:color w:val="auto"/>
          <w:sz w:val="24"/>
          <w:szCs w:val="24"/>
        </w:rPr>
        <w:t>5、供应商若为法人投标，须提供法定代表人</w:t>
      </w:r>
      <w:r>
        <w:rPr>
          <w:rFonts w:hint="eastAsia" w:ascii="宋体" w:hAnsi="宋体" w:cs="宋体"/>
          <w:color w:val="auto"/>
          <w:sz w:val="24"/>
          <w:szCs w:val="24"/>
          <w:lang w:val="en-US" w:eastAsia="zh-CN"/>
        </w:rPr>
        <w:t>资格证明书</w:t>
      </w:r>
      <w:r>
        <w:rPr>
          <w:rFonts w:hint="eastAsia" w:ascii="宋体" w:hAnsi="宋体" w:cs="宋体"/>
          <w:color w:val="auto"/>
          <w:sz w:val="24"/>
          <w:szCs w:val="24"/>
        </w:rPr>
        <w:t>和法定代表人身份证</w:t>
      </w:r>
      <w:r>
        <w:rPr>
          <w:rFonts w:hint="eastAsia" w:ascii="宋体" w:hAnsi="宋体" w:cs="宋体"/>
          <w:color w:val="auto"/>
          <w:sz w:val="24"/>
          <w:szCs w:val="24"/>
          <w:lang w:val="en-US" w:eastAsia="zh-CN"/>
        </w:rPr>
        <w:t>明</w:t>
      </w:r>
      <w:r>
        <w:rPr>
          <w:rFonts w:hint="eastAsia" w:ascii="宋体" w:hAnsi="宋体" w:cs="宋体"/>
          <w:color w:val="auto"/>
          <w:sz w:val="24"/>
          <w:szCs w:val="24"/>
        </w:rPr>
        <w:t>原件（如身份证、护照）；</w:t>
      </w:r>
      <w:r>
        <w:rPr>
          <w:rFonts w:hint="eastAsia" w:ascii="宋体" w:hAnsi="宋体" w:cs="宋体"/>
          <w:color w:val="auto"/>
          <w:sz w:val="24"/>
          <w:szCs w:val="24"/>
          <w:lang w:eastAsia="zh-CN"/>
        </w:rPr>
        <w:t>供应商</w:t>
      </w:r>
      <w:r>
        <w:rPr>
          <w:rFonts w:hint="eastAsia" w:ascii="宋体" w:hAnsi="宋体" w:cs="宋体"/>
          <w:color w:val="auto"/>
          <w:sz w:val="24"/>
          <w:szCs w:val="24"/>
        </w:rPr>
        <w:t>若为被授权人投标，须提供法人代表授权书和被授权人身份证原件。</w:t>
      </w:r>
    </w:p>
    <w:p>
      <w:pPr>
        <w:spacing w:after="0" w:line="540" w:lineRule="exact"/>
        <w:ind w:firstLine="228" w:firstLineChars="100"/>
        <w:rPr>
          <w:rFonts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二</w:t>
      </w:r>
      <w:r>
        <w:rPr>
          <w:rFonts w:hint="eastAsia" w:ascii="宋体" w:hAnsi="宋体" w:cs="宋体"/>
          <w:color w:val="auto"/>
          <w:sz w:val="24"/>
          <w:szCs w:val="24"/>
          <w:lang w:eastAsia="zh-CN"/>
        </w:rPr>
        <w:t>）</w:t>
      </w:r>
      <w:r>
        <w:rPr>
          <w:rFonts w:hint="eastAsia" w:ascii="宋体" w:hAnsi="宋体" w:cs="宋体"/>
          <w:color w:val="auto"/>
          <w:sz w:val="24"/>
          <w:szCs w:val="24"/>
        </w:rPr>
        <w:t>本项目不接受联合体投标</w:t>
      </w:r>
      <w:r>
        <w:rPr>
          <w:rFonts w:hint="eastAsia" w:ascii="宋体" w:hAnsi="宋体" w:eastAsia="宋体" w:cs="宋体"/>
          <w:color w:val="auto"/>
          <w:sz w:val="24"/>
          <w:szCs w:val="24"/>
        </w:rPr>
        <w:t>，供应商须提供《非联合体投标声明函》。</w:t>
      </w:r>
    </w:p>
    <w:p>
      <w:pPr>
        <w:spacing w:after="0" w:line="540" w:lineRule="exact"/>
        <w:rPr>
          <w:rFonts w:ascii="宋体" w:hAnsi="宋体" w:cs="宋体"/>
          <w:color w:val="auto"/>
          <w:sz w:val="24"/>
          <w:szCs w:val="24"/>
        </w:rPr>
      </w:pPr>
      <w:r>
        <w:rPr>
          <w:rFonts w:hint="eastAsia" w:ascii="宋体" w:hAnsi="宋体" w:cs="宋体"/>
          <w:color w:val="auto"/>
          <w:sz w:val="24"/>
          <w:szCs w:val="24"/>
        </w:rPr>
        <w:t>六、报名及获取招标文件时间、方式</w:t>
      </w:r>
    </w:p>
    <w:p>
      <w:pPr>
        <w:spacing w:after="0" w:line="540" w:lineRule="exact"/>
        <w:rPr>
          <w:rFonts w:ascii="宋体" w:hAnsi="宋体" w:cs="宋体"/>
          <w:color w:val="auto"/>
          <w:sz w:val="24"/>
          <w:szCs w:val="24"/>
        </w:rPr>
      </w:pPr>
      <w:r>
        <w:rPr>
          <w:rFonts w:hint="eastAsia" w:ascii="宋体" w:hAnsi="宋体" w:cs="宋体"/>
          <w:color w:val="auto"/>
          <w:sz w:val="24"/>
          <w:szCs w:val="24"/>
        </w:rPr>
        <w:t>（一）报名及获取招标文件时间：20</w:t>
      </w:r>
      <w:r>
        <w:rPr>
          <w:rFonts w:hint="eastAsia" w:ascii="宋体" w:hAnsi="宋体" w:cs="宋体"/>
          <w:color w:val="auto"/>
          <w:sz w:val="24"/>
          <w:szCs w:val="24"/>
          <w:lang w:val="en-US" w:eastAsia="zh-CN"/>
        </w:rPr>
        <w:t>22</w:t>
      </w:r>
      <w:r>
        <w:rPr>
          <w:rFonts w:hint="eastAsia" w:ascii="宋体" w:hAnsi="宋体" w:cs="宋体"/>
          <w:color w:val="auto"/>
          <w:sz w:val="24"/>
          <w:szCs w:val="24"/>
        </w:rPr>
        <w:t>年</w:t>
      </w:r>
      <w:r>
        <w:rPr>
          <w:rFonts w:hint="eastAsia" w:ascii="宋体" w:hAnsi="宋体" w:cs="宋体"/>
          <w:color w:val="auto"/>
          <w:sz w:val="24"/>
          <w:szCs w:val="24"/>
          <w:lang w:val="en-US" w:eastAsia="zh-CN"/>
        </w:rPr>
        <w:t>7</w:t>
      </w:r>
      <w:r>
        <w:rPr>
          <w:rFonts w:hint="eastAsia" w:ascii="宋体" w:hAnsi="宋体" w:cs="宋体"/>
          <w:color w:val="auto"/>
          <w:sz w:val="24"/>
          <w:szCs w:val="24"/>
        </w:rPr>
        <w:t>月</w:t>
      </w:r>
      <w:r>
        <w:rPr>
          <w:rFonts w:hint="eastAsia" w:ascii="宋体" w:hAnsi="宋体" w:cs="宋体"/>
          <w:color w:val="auto"/>
          <w:sz w:val="24"/>
          <w:szCs w:val="24"/>
          <w:lang w:val="en-US" w:eastAsia="zh-CN"/>
        </w:rPr>
        <w:t>8</w:t>
      </w:r>
      <w:r>
        <w:rPr>
          <w:rFonts w:hint="eastAsia" w:ascii="宋体" w:hAnsi="宋体" w:cs="宋体"/>
          <w:color w:val="auto"/>
          <w:sz w:val="24"/>
          <w:szCs w:val="24"/>
        </w:rPr>
        <w:t>日至20</w:t>
      </w:r>
      <w:r>
        <w:rPr>
          <w:rFonts w:hint="eastAsia" w:ascii="宋体" w:hAnsi="宋体" w:cs="宋体"/>
          <w:color w:val="auto"/>
          <w:sz w:val="24"/>
          <w:szCs w:val="24"/>
          <w:lang w:val="en-US" w:eastAsia="zh-CN"/>
        </w:rPr>
        <w:t>22</w:t>
      </w:r>
      <w:r>
        <w:rPr>
          <w:rFonts w:hint="eastAsia" w:ascii="宋体" w:hAnsi="宋体" w:cs="宋体"/>
          <w:color w:val="auto"/>
          <w:sz w:val="24"/>
          <w:szCs w:val="24"/>
        </w:rPr>
        <w:t>年</w:t>
      </w:r>
      <w:r>
        <w:rPr>
          <w:rFonts w:hint="eastAsia" w:ascii="宋体" w:hAnsi="宋体" w:cs="宋体"/>
          <w:color w:val="auto"/>
          <w:sz w:val="24"/>
          <w:szCs w:val="24"/>
          <w:lang w:val="en-US" w:eastAsia="zh-CN"/>
        </w:rPr>
        <w:t>7</w:t>
      </w:r>
      <w:r>
        <w:rPr>
          <w:rFonts w:hint="eastAsia" w:ascii="宋体" w:hAnsi="宋体" w:cs="宋体"/>
          <w:color w:val="auto"/>
          <w:sz w:val="24"/>
          <w:szCs w:val="24"/>
        </w:rPr>
        <w:t>月</w:t>
      </w:r>
      <w:r>
        <w:rPr>
          <w:rFonts w:hint="eastAsia" w:ascii="宋体" w:hAnsi="宋体" w:cs="宋体"/>
          <w:color w:val="auto"/>
          <w:sz w:val="24"/>
          <w:szCs w:val="24"/>
          <w:lang w:val="en-US" w:eastAsia="zh-CN"/>
        </w:rPr>
        <w:t>15</w:t>
      </w:r>
      <w:r>
        <w:rPr>
          <w:rFonts w:hint="eastAsia" w:ascii="宋体" w:hAnsi="宋体" w:cs="宋体"/>
          <w:color w:val="auto"/>
          <w:sz w:val="24"/>
          <w:szCs w:val="24"/>
        </w:rPr>
        <w:t>日，每日9:00-12:00，13:30-16:30（法定节假日除外）。</w:t>
      </w:r>
    </w:p>
    <w:p>
      <w:pPr>
        <w:spacing w:after="0" w:line="540" w:lineRule="exact"/>
        <w:rPr>
          <w:rFonts w:ascii="宋体" w:hAnsi="宋体" w:cs="宋体"/>
          <w:color w:val="auto"/>
          <w:sz w:val="24"/>
          <w:szCs w:val="24"/>
        </w:rPr>
      </w:pPr>
      <w:r>
        <w:rPr>
          <w:rFonts w:hint="eastAsia" w:ascii="宋体" w:hAnsi="宋体" w:cs="宋体"/>
          <w:color w:val="auto"/>
          <w:sz w:val="24"/>
          <w:szCs w:val="24"/>
        </w:rPr>
        <w:t>（二）报名及获取招标文件的方式：发售，现场领取。</w:t>
      </w:r>
    </w:p>
    <w:p>
      <w:pPr>
        <w:spacing w:after="0" w:line="540" w:lineRule="exact"/>
        <w:ind w:firstLine="335" w:firstLineChars="147"/>
        <w:rPr>
          <w:rFonts w:ascii="宋体" w:hAnsi="宋体" w:cs="宋体"/>
          <w:color w:val="auto"/>
          <w:sz w:val="24"/>
          <w:szCs w:val="24"/>
        </w:rPr>
      </w:pPr>
      <w:r>
        <w:rPr>
          <w:rFonts w:hint="eastAsia" w:ascii="宋体" w:hAnsi="宋体" w:cs="宋体"/>
          <w:color w:val="auto"/>
          <w:sz w:val="24"/>
          <w:szCs w:val="24"/>
        </w:rPr>
        <w:t>注：供应商须在《天津市政府采购网》（网址：</w:t>
      </w:r>
      <w:r>
        <w:rPr>
          <w:rFonts w:hint="eastAsia" w:ascii="宋体" w:hAnsi="宋体" w:eastAsia="宋体" w:cs="宋体"/>
          <w:color w:val="auto"/>
          <w:u w:val="none"/>
        </w:rPr>
        <w:t>www.ccgp-tianjin.gov.cn</w:t>
      </w:r>
      <w:r>
        <w:rPr>
          <w:rFonts w:hint="eastAsia" w:ascii="宋体" w:hAnsi="宋体" w:cs="宋体"/>
          <w:color w:val="auto"/>
          <w:sz w:val="24"/>
          <w:szCs w:val="24"/>
        </w:rPr>
        <w:t>）上完成注册并成为合格供应商。报名时须携带供应商营业执照副本复印件、法人代表授权书原件（需由法定代表人签</w:t>
      </w:r>
      <w:r>
        <w:rPr>
          <w:rFonts w:hint="eastAsia" w:ascii="宋体" w:hAnsi="宋体" w:cs="宋体"/>
          <w:color w:val="auto"/>
          <w:sz w:val="24"/>
          <w:szCs w:val="24"/>
          <w:lang w:val="en-US" w:eastAsia="zh-CN"/>
        </w:rPr>
        <w:t>章</w:t>
      </w:r>
      <w:r>
        <w:rPr>
          <w:rFonts w:hint="eastAsia" w:ascii="宋体" w:hAnsi="宋体" w:cs="宋体"/>
          <w:color w:val="auto"/>
          <w:sz w:val="24"/>
          <w:szCs w:val="24"/>
        </w:rPr>
        <w:t>及加盖单位公章）及被授权人身份证原件。</w:t>
      </w:r>
    </w:p>
    <w:p>
      <w:pPr>
        <w:numPr>
          <w:ilvl w:val="0"/>
          <w:numId w:val="2"/>
        </w:numPr>
        <w:spacing w:after="0" w:line="540" w:lineRule="exact"/>
        <w:rPr>
          <w:rFonts w:ascii="宋体" w:hAnsi="宋体" w:cs="宋体"/>
          <w:color w:val="auto"/>
          <w:sz w:val="24"/>
          <w:szCs w:val="24"/>
        </w:rPr>
      </w:pPr>
      <w:r>
        <w:rPr>
          <w:rFonts w:hint="eastAsia" w:ascii="宋体" w:hAnsi="宋体" w:cs="宋体"/>
          <w:color w:val="auto"/>
          <w:sz w:val="24"/>
          <w:szCs w:val="24"/>
        </w:rPr>
        <w:t>招标文件售价：500元/本（需以现金形式支付），文件一经售出，</w:t>
      </w:r>
      <w:r>
        <w:rPr>
          <w:rFonts w:hint="eastAsia" w:ascii="宋体" w:hAnsi="宋体" w:cs="宋体"/>
          <w:color w:val="auto"/>
          <w:sz w:val="24"/>
          <w:szCs w:val="24"/>
          <w:lang w:val="en-US" w:eastAsia="zh-CN"/>
        </w:rPr>
        <w:t>概不退费</w:t>
      </w:r>
      <w:r>
        <w:rPr>
          <w:rFonts w:hint="eastAsia" w:ascii="宋体" w:hAnsi="宋体" w:cs="宋体"/>
          <w:color w:val="auto"/>
          <w:sz w:val="24"/>
          <w:szCs w:val="24"/>
        </w:rPr>
        <w:t>。</w:t>
      </w:r>
    </w:p>
    <w:p>
      <w:pPr>
        <w:spacing w:after="0" w:line="540" w:lineRule="exact"/>
        <w:rPr>
          <w:rFonts w:ascii="宋体" w:hAnsi="宋体" w:cs="宋体"/>
          <w:color w:val="auto"/>
          <w:sz w:val="24"/>
          <w:szCs w:val="24"/>
        </w:rPr>
      </w:pPr>
      <w:r>
        <w:rPr>
          <w:rFonts w:hint="eastAsia" w:ascii="宋体" w:hAnsi="宋体" w:cs="宋体"/>
          <w:color w:val="auto"/>
          <w:sz w:val="24"/>
          <w:szCs w:val="24"/>
        </w:rPr>
        <w:t>七、投标截至时间及地点、开标时间及地点</w:t>
      </w:r>
    </w:p>
    <w:p>
      <w:pPr>
        <w:spacing w:after="0" w:line="540" w:lineRule="exact"/>
        <w:rPr>
          <w:rFonts w:ascii="宋体" w:hAnsi="宋体" w:cs="宋体"/>
          <w:color w:val="auto"/>
          <w:sz w:val="24"/>
          <w:szCs w:val="24"/>
        </w:rPr>
      </w:pPr>
      <w:r>
        <w:rPr>
          <w:rFonts w:hint="eastAsia" w:ascii="宋体" w:hAnsi="宋体" w:cs="宋体"/>
          <w:color w:val="auto"/>
          <w:sz w:val="24"/>
          <w:szCs w:val="24"/>
        </w:rPr>
        <w:t>（一）投标截至时间：202</w:t>
      </w:r>
      <w:r>
        <w:rPr>
          <w:rFonts w:hint="eastAsia" w:ascii="宋体" w:hAnsi="宋体" w:cs="宋体"/>
          <w:color w:val="auto"/>
          <w:sz w:val="24"/>
          <w:szCs w:val="24"/>
          <w:lang w:val="en-US" w:eastAsia="zh-CN"/>
        </w:rPr>
        <w:t>2</w:t>
      </w:r>
      <w:r>
        <w:rPr>
          <w:rFonts w:hint="eastAsia" w:ascii="宋体" w:hAnsi="宋体" w:cs="宋体"/>
          <w:color w:val="auto"/>
          <w:sz w:val="24"/>
          <w:szCs w:val="24"/>
        </w:rPr>
        <w:t>年</w:t>
      </w:r>
      <w:r>
        <w:rPr>
          <w:rFonts w:hint="eastAsia" w:ascii="宋体" w:hAnsi="宋体" w:cs="宋体"/>
          <w:color w:val="auto"/>
          <w:sz w:val="24"/>
          <w:szCs w:val="24"/>
          <w:lang w:val="en-US" w:eastAsia="zh-CN"/>
        </w:rPr>
        <w:t>7</w:t>
      </w:r>
      <w:r>
        <w:rPr>
          <w:rFonts w:hint="eastAsia" w:ascii="宋体" w:hAnsi="宋体" w:cs="宋体"/>
          <w:color w:val="auto"/>
          <w:sz w:val="24"/>
          <w:szCs w:val="24"/>
        </w:rPr>
        <w:t>月</w:t>
      </w:r>
      <w:r>
        <w:rPr>
          <w:rFonts w:hint="eastAsia" w:ascii="宋体" w:hAnsi="宋体" w:cs="宋体"/>
          <w:color w:val="auto"/>
          <w:sz w:val="24"/>
          <w:szCs w:val="24"/>
          <w:lang w:val="en-US" w:eastAsia="zh-CN"/>
        </w:rPr>
        <w:t>29</w:t>
      </w:r>
      <w:r>
        <w:rPr>
          <w:rFonts w:hint="eastAsia" w:ascii="宋体" w:hAnsi="宋体" w:cs="宋体"/>
          <w:color w:val="auto"/>
          <w:sz w:val="24"/>
          <w:szCs w:val="24"/>
        </w:rPr>
        <w:t>日</w:t>
      </w:r>
      <w:r>
        <w:rPr>
          <w:rFonts w:hint="eastAsia" w:ascii="宋体" w:hAnsi="宋体" w:cs="宋体"/>
          <w:color w:val="auto"/>
          <w:sz w:val="24"/>
          <w:szCs w:val="24"/>
          <w:lang w:eastAsia="zh-CN"/>
        </w:rPr>
        <w:t>下</w:t>
      </w:r>
      <w:r>
        <w:rPr>
          <w:rFonts w:hint="eastAsia" w:ascii="宋体" w:hAnsi="宋体" w:cs="宋体"/>
          <w:color w:val="auto"/>
          <w:sz w:val="24"/>
          <w:szCs w:val="24"/>
        </w:rPr>
        <w:t>午</w:t>
      </w:r>
      <w:r>
        <w:rPr>
          <w:rFonts w:hint="eastAsia" w:ascii="宋体" w:hAnsi="宋体" w:cs="宋体"/>
          <w:color w:val="auto"/>
          <w:sz w:val="24"/>
          <w:szCs w:val="24"/>
          <w:lang w:val="en-US" w:eastAsia="zh-CN"/>
        </w:rPr>
        <w:t>13</w:t>
      </w:r>
      <w:r>
        <w:rPr>
          <w:rFonts w:hint="eastAsia" w:ascii="宋体" w:hAnsi="宋体" w:cs="宋体"/>
          <w:color w:val="auto"/>
          <w:sz w:val="24"/>
          <w:szCs w:val="24"/>
        </w:rPr>
        <w:t>:</w:t>
      </w:r>
      <w:r>
        <w:rPr>
          <w:rFonts w:hint="eastAsia" w:ascii="宋体" w:hAnsi="宋体" w:cs="宋体"/>
          <w:color w:val="auto"/>
          <w:sz w:val="24"/>
          <w:szCs w:val="24"/>
          <w:lang w:val="en-US" w:eastAsia="zh-CN"/>
        </w:rPr>
        <w:t>3</w:t>
      </w:r>
      <w:r>
        <w:rPr>
          <w:rFonts w:hint="eastAsia" w:ascii="宋体" w:hAnsi="宋体" w:cs="宋体"/>
          <w:color w:val="auto"/>
          <w:sz w:val="24"/>
          <w:szCs w:val="24"/>
        </w:rPr>
        <w:t>0至</w:t>
      </w:r>
      <w:r>
        <w:rPr>
          <w:rFonts w:hint="eastAsia" w:ascii="宋体" w:hAnsi="宋体" w:cs="宋体"/>
          <w:color w:val="auto"/>
          <w:sz w:val="24"/>
          <w:szCs w:val="24"/>
          <w:lang w:val="en-US" w:eastAsia="zh-CN"/>
        </w:rPr>
        <w:t>14</w:t>
      </w:r>
      <w:r>
        <w:rPr>
          <w:rFonts w:hint="eastAsia" w:ascii="宋体" w:hAnsi="宋体" w:cs="宋体"/>
          <w:color w:val="auto"/>
          <w:sz w:val="24"/>
          <w:szCs w:val="24"/>
        </w:rPr>
        <w:t>:</w:t>
      </w:r>
      <w:r>
        <w:rPr>
          <w:rFonts w:hint="eastAsia" w:ascii="宋体" w:hAnsi="宋体" w:cs="宋体"/>
          <w:color w:val="auto"/>
          <w:sz w:val="24"/>
          <w:szCs w:val="24"/>
          <w:lang w:val="en-US" w:eastAsia="zh-CN"/>
        </w:rPr>
        <w:t>0</w:t>
      </w:r>
      <w:r>
        <w:rPr>
          <w:rFonts w:hint="eastAsia" w:ascii="宋体" w:hAnsi="宋体" w:cs="宋体"/>
          <w:color w:val="auto"/>
          <w:sz w:val="24"/>
          <w:szCs w:val="24"/>
        </w:rPr>
        <w:t>0提交纸质投标文件并签到。</w:t>
      </w:r>
    </w:p>
    <w:p>
      <w:pPr>
        <w:spacing w:after="0" w:line="540" w:lineRule="exact"/>
        <w:rPr>
          <w:rFonts w:ascii="宋体" w:hAnsi="宋体" w:cs="宋体"/>
          <w:color w:val="auto"/>
          <w:sz w:val="24"/>
          <w:szCs w:val="24"/>
        </w:rPr>
      </w:pPr>
      <w:r>
        <w:rPr>
          <w:rFonts w:hint="eastAsia" w:ascii="宋体" w:hAnsi="宋体" w:cs="宋体"/>
          <w:color w:val="auto"/>
          <w:sz w:val="24"/>
          <w:szCs w:val="24"/>
        </w:rPr>
        <w:t>（二）提交投标文件地点：天津市南开区红旗路208号乐谷商务中心A座10层。</w:t>
      </w:r>
    </w:p>
    <w:p>
      <w:pPr>
        <w:spacing w:after="0" w:line="540" w:lineRule="exact"/>
        <w:ind w:right="-166" w:rightChars="-80"/>
        <w:rPr>
          <w:rFonts w:ascii="宋体" w:hAnsi="宋体" w:cs="宋体"/>
          <w:color w:val="auto"/>
          <w:sz w:val="24"/>
          <w:szCs w:val="24"/>
        </w:rPr>
      </w:pPr>
      <w:r>
        <w:rPr>
          <w:rFonts w:hint="eastAsia" w:ascii="宋体" w:hAnsi="宋体" w:cs="宋体"/>
          <w:color w:val="auto"/>
          <w:sz w:val="24"/>
          <w:szCs w:val="24"/>
        </w:rPr>
        <w:t>（三）开标时间：202</w:t>
      </w:r>
      <w:r>
        <w:rPr>
          <w:rFonts w:hint="eastAsia" w:ascii="宋体" w:hAnsi="宋体" w:cs="宋体"/>
          <w:color w:val="auto"/>
          <w:sz w:val="24"/>
          <w:szCs w:val="24"/>
          <w:lang w:val="en-US" w:eastAsia="zh-CN"/>
        </w:rPr>
        <w:t>2</w:t>
      </w:r>
      <w:r>
        <w:rPr>
          <w:rFonts w:hint="eastAsia" w:ascii="宋体" w:hAnsi="宋体" w:cs="宋体"/>
          <w:color w:val="auto"/>
          <w:sz w:val="24"/>
          <w:szCs w:val="24"/>
        </w:rPr>
        <w:t>年</w:t>
      </w:r>
      <w:r>
        <w:rPr>
          <w:rFonts w:hint="eastAsia" w:ascii="宋体" w:hAnsi="宋体" w:cs="宋体"/>
          <w:color w:val="auto"/>
          <w:sz w:val="24"/>
          <w:szCs w:val="24"/>
          <w:lang w:val="en-US" w:eastAsia="zh-CN"/>
        </w:rPr>
        <w:t>7</w:t>
      </w:r>
      <w:r>
        <w:rPr>
          <w:rFonts w:hint="eastAsia" w:ascii="宋体" w:hAnsi="宋体" w:cs="宋体"/>
          <w:color w:val="auto"/>
          <w:sz w:val="24"/>
          <w:szCs w:val="24"/>
        </w:rPr>
        <w:t>月</w:t>
      </w:r>
      <w:r>
        <w:rPr>
          <w:rFonts w:hint="eastAsia" w:ascii="宋体" w:hAnsi="宋体" w:cs="宋体"/>
          <w:color w:val="auto"/>
          <w:sz w:val="24"/>
          <w:szCs w:val="24"/>
          <w:lang w:val="en-US" w:eastAsia="zh-CN"/>
        </w:rPr>
        <w:t>29</w:t>
      </w:r>
      <w:r>
        <w:rPr>
          <w:rFonts w:hint="eastAsia" w:ascii="宋体" w:hAnsi="宋体" w:cs="宋体"/>
          <w:color w:val="auto"/>
          <w:sz w:val="24"/>
          <w:szCs w:val="24"/>
        </w:rPr>
        <w:t>日</w:t>
      </w:r>
      <w:r>
        <w:rPr>
          <w:rFonts w:hint="eastAsia" w:ascii="宋体" w:hAnsi="宋体" w:cs="宋体"/>
          <w:color w:val="auto"/>
          <w:sz w:val="24"/>
          <w:szCs w:val="24"/>
          <w:lang w:eastAsia="zh-CN"/>
        </w:rPr>
        <w:t>下</w:t>
      </w:r>
      <w:r>
        <w:rPr>
          <w:rFonts w:hint="eastAsia" w:ascii="宋体" w:hAnsi="宋体" w:cs="宋体"/>
          <w:color w:val="auto"/>
          <w:sz w:val="24"/>
          <w:szCs w:val="24"/>
        </w:rPr>
        <w:t>午</w:t>
      </w:r>
      <w:r>
        <w:rPr>
          <w:rFonts w:hint="eastAsia" w:ascii="宋体" w:hAnsi="宋体" w:cs="宋体"/>
          <w:color w:val="auto"/>
          <w:sz w:val="24"/>
          <w:szCs w:val="24"/>
          <w:lang w:val="en-US" w:eastAsia="zh-CN"/>
        </w:rPr>
        <w:t>14</w:t>
      </w:r>
      <w:r>
        <w:rPr>
          <w:rFonts w:hint="eastAsia" w:ascii="宋体" w:hAnsi="宋体" w:cs="宋体"/>
          <w:color w:val="auto"/>
          <w:sz w:val="24"/>
          <w:szCs w:val="24"/>
        </w:rPr>
        <w:t>:</w:t>
      </w:r>
      <w:r>
        <w:rPr>
          <w:rFonts w:hint="eastAsia" w:ascii="宋体" w:hAnsi="宋体" w:cs="宋体"/>
          <w:color w:val="auto"/>
          <w:sz w:val="24"/>
          <w:szCs w:val="24"/>
          <w:lang w:val="en-US" w:eastAsia="zh-CN"/>
        </w:rPr>
        <w:t>0</w:t>
      </w:r>
      <w:r>
        <w:rPr>
          <w:rFonts w:hint="eastAsia" w:ascii="宋体" w:hAnsi="宋体" w:cs="宋体"/>
          <w:color w:val="auto"/>
          <w:sz w:val="24"/>
          <w:szCs w:val="24"/>
        </w:rPr>
        <w:t>0。</w:t>
      </w:r>
    </w:p>
    <w:p>
      <w:pPr>
        <w:spacing w:after="0" w:line="540" w:lineRule="exact"/>
        <w:rPr>
          <w:rFonts w:ascii="宋体" w:hAnsi="宋体" w:cs="宋体"/>
          <w:color w:val="auto"/>
          <w:sz w:val="24"/>
          <w:szCs w:val="24"/>
        </w:rPr>
      </w:pPr>
      <w:r>
        <w:rPr>
          <w:rFonts w:hint="eastAsia" w:ascii="宋体" w:hAnsi="宋体" w:cs="宋体"/>
          <w:color w:val="auto"/>
          <w:sz w:val="24"/>
          <w:szCs w:val="24"/>
        </w:rPr>
        <w:t>（四）开标地点：天津市南开区红旗路208号乐谷商务中心A座10层（天津晟辰工程造价咨询有限公司第一会议室）</w:t>
      </w:r>
    </w:p>
    <w:p>
      <w:pPr>
        <w:spacing w:after="0" w:line="540" w:lineRule="exact"/>
        <w:rPr>
          <w:rFonts w:ascii="宋体" w:hAnsi="宋体" w:cs="宋体"/>
          <w:color w:val="auto"/>
          <w:sz w:val="24"/>
          <w:szCs w:val="24"/>
        </w:rPr>
      </w:pPr>
      <w:r>
        <w:rPr>
          <w:rFonts w:hint="eastAsia" w:ascii="宋体" w:hAnsi="宋体" w:cs="宋体"/>
          <w:color w:val="auto"/>
          <w:sz w:val="24"/>
          <w:szCs w:val="24"/>
        </w:rPr>
        <w:t>八、采购代理机构项目联系人及联系方式</w:t>
      </w:r>
    </w:p>
    <w:p>
      <w:pPr>
        <w:spacing w:after="0" w:line="540" w:lineRule="exact"/>
        <w:rPr>
          <w:rFonts w:ascii="宋体" w:hAnsi="宋体" w:cs="宋体"/>
          <w:color w:val="auto"/>
          <w:sz w:val="24"/>
          <w:szCs w:val="24"/>
        </w:rPr>
      </w:pPr>
      <w:r>
        <w:rPr>
          <w:rFonts w:hint="eastAsia" w:ascii="宋体" w:hAnsi="宋体" w:cs="宋体"/>
          <w:color w:val="auto"/>
          <w:sz w:val="24"/>
          <w:szCs w:val="24"/>
        </w:rPr>
        <w:t>（一）联系人：</w:t>
      </w:r>
      <w:r>
        <w:rPr>
          <w:rFonts w:hint="eastAsia" w:ascii="宋体" w:hAnsi="宋体" w:cs="宋体"/>
          <w:color w:val="auto"/>
          <w:sz w:val="24"/>
          <w:szCs w:val="24"/>
          <w:lang w:val="en-US" w:eastAsia="zh-CN"/>
        </w:rPr>
        <w:t>孔</w:t>
      </w:r>
      <w:r>
        <w:rPr>
          <w:rFonts w:hint="eastAsia" w:ascii="宋体" w:hAnsi="宋体" w:cs="宋体"/>
          <w:color w:val="auto"/>
          <w:sz w:val="24"/>
          <w:szCs w:val="24"/>
        </w:rPr>
        <w:t>老师</w:t>
      </w:r>
    </w:p>
    <w:p>
      <w:pPr>
        <w:spacing w:after="0" w:line="540" w:lineRule="exact"/>
        <w:rPr>
          <w:rFonts w:ascii="宋体" w:hAnsi="宋体" w:cs="宋体"/>
          <w:color w:val="auto"/>
          <w:sz w:val="24"/>
          <w:szCs w:val="24"/>
        </w:rPr>
      </w:pPr>
      <w:r>
        <w:rPr>
          <w:rFonts w:hint="eastAsia" w:ascii="宋体" w:hAnsi="宋体" w:cs="宋体"/>
          <w:color w:val="auto"/>
          <w:sz w:val="24"/>
          <w:szCs w:val="24"/>
        </w:rPr>
        <w:t>（二）联系电话：022-83560800</w:t>
      </w:r>
    </w:p>
    <w:p>
      <w:pPr>
        <w:spacing w:after="0" w:line="540" w:lineRule="exact"/>
        <w:rPr>
          <w:rFonts w:ascii="宋体" w:hAnsi="宋体" w:cs="宋体"/>
          <w:color w:val="auto"/>
          <w:sz w:val="24"/>
          <w:szCs w:val="24"/>
        </w:rPr>
      </w:pPr>
      <w:r>
        <w:rPr>
          <w:rFonts w:hint="eastAsia" w:ascii="宋体" w:hAnsi="宋体" w:cs="宋体"/>
          <w:color w:val="auto"/>
          <w:sz w:val="24"/>
          <w:szCs w:val="24"/>
        </w:rPr>
        <w:t>九、采购人的名称、地址和联系方式</w:t>
      </w:r>
    </w:p>
    <w:p>
      <w:pPr>
        <w:spacing w:after="0" w:line="540" w:lineRule="exact"/>
        <w:rPr>
          <w:rFonts w:hint="eastAsia" w:ascii="宋体" w:hAnsi="宋体" w:cs="宋体"/>
          <w:color w:val="auto"/>
          <w:sz w:val="24"/>
          <w:szCs w:val="24"/>
        </w:rPr>
      </w:pPr>
      <w:r>
        <w:rPr>
          <w:rFonts w:hint="eastAsia" w:ascii="宋体" w:hAnsi="宋体" w:cs="宋体"/>
          <w:color w:val="auto"/>
          <w:sz w:val="24"/>
          <w:szCs w:val="24"/>
        </w:rPr>
        <w:t>（一）采购人名称：天津中医药大学</w:t>
      </w:r>
    </w:p>
    <w:p>
      <w:pPr>
        <w:spacing w:after="0" w:line="540" w:lineRule="exact"/>
        <w:rPr>
          <w:rFonts w:hint="eastAsia" w:ascii="宋体" w:hAnsi="宋体" w:cs="宋体"/>
          <w:color w:val="auto"/>
          <w:sz w:val="24"/>
          <w:szCs w:val="24"/>
        </w:rPr>
      </w:pPr>
      <w:r>
        <w:rPr>
          <w:rFonts w:hint="eastAsia" w:ascii="宋体" w:hAnsi="宋体" w:cs="宋体"/>
          <w:color w:val="auto"/>
          <w:sz w:val="24"/>
          <w:szCs w:val="24"/>
        </w:rPr>
        <w:t>（二）采购人地址：天津市静海区团泊新城西区鄱阳湖路10号</w:t>
      </w:r>
    </w:p>
    <w:p>
      <w:pPr>
        <w:spacing w:after="0" w:line="540" w:lineRule="exact"/>
        <w:rPr>
          <w:rFonts w:hint="eastAsia" w:ascii="宋体" w:hAnsi="宋体" w:cs="宋体"/>
          <w:color w:val="auto"/>
          <w:sz w:val="24"/>
          <w:szCs w:val="24"/>
        </w:rPr>
      </w:pPr>
      <w:r>
        <w:rPr>
          <w:rFonts w:hint="eastAsia" w:ascii="宋体" w:hAnsi="宋体" w:cs="宋体"/>
          <w:color w:val="auto"/>
          <w:sz w:val="24"/>
          <w:szCs w:val="24"/>
        </w:rPr>
        <w:t>（三）采购人联系人：阎老师</w:t>
      </w:r>
    </w:p>
    <w:p>
      <w:pPr>
        <w:spacing w:after="0" w:line="540" w:lineRule="exact"/>
        <w:rPr>
          <w:rFonts w:hint="eastAsia" w:ascii="宋体" w:hAnsi="宋体" w:cs="宋体"/>
          <w:color w:val="auto"/>
          <w:sz w:val="24"/>
          <w:szCs w:val="24"/>
        </w:rPr>
      </w:pPr>
      <w:r>
        <w:rPr>
          <w:rFonts w:hint="eastAsia" w:ascii="宋体" w:hAnsi="宋体" w:cs="宋体"/>
          <w:color w:val="auto"/>
          <w:sz w:val="24"/>
          <w:szCs w:val="24"/>
        </w:rPr>
        <w:t xml:space="preserve">（四）采购人联系电话：022-59596158 </w:t>
      </w:r>
    </w:p>
    <w:p>
      <w:pPr>
        <w:spacing w:after="0" w:line="540" w:lineRule="exact"/>
        <w:rPr>
          <w:rFonts w:ascii="宋体" w:hAnsi="宋体" w:cs="宋体"/>
          <w:color w:val="auto"/>
          <w:sz w:val="24"/>
          <w:szCs w:val="24"/>
        </w:rPr>
      </w:pPr>
      <w:r>
        <w:rPr>
          <w:rFonts w:hint="eastAsia" w:ascii="宋体" w:hAnsi="宋体" w:cs="宋体"/>
          <w:color w:val="auto"/>
          <w:sz w:val="24"/>
          <w:szCs w:val="24"/>
        </w:rPr>
        <w:t>十、采购代理机构的名称、地址和联系方式</w:t>
      </w:r>
    </w:p>
    <w:p>
      <w:pPr>
        <w:spacing w:after="0" w:line="540" w:lineRule="exact"/>
        <w:rPr>
          <w:rFonts w:ascii="宋体" w:hAnsi="宋体" w:cs="宋体"/>
          <w:color w:val="auto"/>
          <w:sz w:val="24"/>
          <w:szCs w:val="24"/>
        </w:rPr>
      </w:pPr>
      <w:r>
        <w:rPr>
          <w:rFonts w:hint="eastAsia" w:ascii="宋体" w:hAnsi="宋体" w:cs="宋体"/>
          <w:color w:val="auto"/>
          <w:sz w:val="24"/>
          <w:szCs w:val="24"/>
        </w:rPr>
        <w:t>（一）采购代理机构名称：天津晟辰工程造价咨询有限公司</w:t>
      </w:r>
    </w:p>
    <w:p>
      <w:pPr>
        <w:spacing w:after="0" w:line="540" w:lineRule="exact"/>
        <w:rPr>
          <w:rFonts w:ascii="宋体" w:hAnsi="宋体" w:cs="宋体"/>
          <w:color w:val="auto"/>
          <w:sz w:val="24"/>
          <w:szCs w:val="24"/>
        </w:rPr>
      </w:pPr>
      <w:r>
        <w:rPr>
          <w:rFonts w:hint="eastAsia" w:ascii="宋体" w:hAnsi="宋体" w:cs="宋体"/>
          <w:color w:val="auto"/>
          <w:sz w:val="24"/>
          <w:szCs w:val="24"/>
        </w:rPr>
        <w:t>（二）采购代理机构地址：天津市南开区红旗路208号乐谷商务中心A座10层</w:t>
      </w:r>
    </w:p>
    <w:p>
      <w:pPr>
        <w:spacing w:after="0" w:line="540" w:lineRule="exact"/>
        <w:rPr>
          <w:rFonts w:ascii="宋体" w:hAnsi="宋体" w:cs="宋体"/>
          <w:color w:val="auto"/>
          <w:sz w:val="24"/>
          <w:szCs w:val="24"/>
        </w:rPr>
      </w:pPr>
      <w:r>
        <w:rPr>
          <w:rFonts w:hint="eastAsia" w:ascii="宋体" w:hAnsi="宋体" w:cs="宋体"/>
          <w:color w:val="auto"/>
          <w:sz w:val="24"/>
          <w:szCs w:val="24"/>
        </w:rPr>
        <w:t>（三）采购代理机构对外办公时间：工作日9:00～12:00，13:30～16:30</w:t>
      </w:r>
    </w:p>
    <w:p>
      <w:pPr>
        <w:spacing w:after="0" w:line="540" w:lineRule="exact"/>
        <w:rPr>
          <w:rFonts w:ascii="宋体" w:hAnsi="宋体" w:cs="宋体"/>
          <w:color w:val="auto"/>
          <w:sz w:val="24"/>
          <w:szCs w:val="24"/>
        </w:rPr>
      </w:pPr>
      <w:r>
        <w:rPr>
          <w:rFonts w:hint="eastAsia" w:ascii="宋体" w:hAnsi="宋体" w:cs="宋体"/>
          <w:color w:val="auto"/>
          <w:sz w:val="24"/>
          <w:szCs w:val="24"/>
        </w:rPr>
        <w:t>（四）采购代理机构电子邮箱、汇款银行及账号</w:t>
      </w:r>
    </w:p>
    <w:p>
      <w:pPr>
        <w:spacing w:after="0" w:line="540" w:lineRule="exact"/>
        <w:ind w:firstLine="228" w:firstLineChars="100"/>
        <w:rPr>
          <w:rFonts w:hint="eastAsia" w:ascii="宋体" w:hAnsi="宋体" w:cs="宋体"/>
          <w:color w:val="auto"/>
          <w:sz w:val="24"/>
          <w:szCs w:val="24"/>
        </w:rPr>
      </w:pPr>
      <w:r>
        <w:rPr>
          <w:rFonts w:hint="eastAsia" w:ascii="宋体" w:hAnsi="宋体" w:cs="宋体"/>
          <w:color w:val="auto"/>
          <w:sz w:val="24"/>
          <w:szCs w:val="24"/>
        </w:rPr>
        <w:t>电子邮箱：mail_shengchen@163.com</w:t>
      </w:r>
    </w:p>
    <w:p>
      <w:pPr>
        <w:spacing w:after="0" w:line="540" w:lineRule="exact"/>
        <w:ind w:firstLine="456" w:firstLineChars="200"/>
        <w:rPr>
          <w:rFonts w:hint="eastAsia" w:ascii="宋体" w:hAnsi="宋体" w:cs="宋体"/>
          <w:color w:val="auto"/>
          <w:sz w:val="24"/>
          <w:szCs w:val="24"/>
        </w:rPr>
      </w:pPr>
      <w:r>
        <w:rPr>
          <w:rFonts w:hint="eastAsia" w:ascii="宋体" w:hAnsi="宋体" w:cs="宋体"/>
          <w:color w:val="auto"/>
          <w:sz w:val="24"/>
          <w:szCs w:val="24"/>
        </w:rPr>
        <w:t>天津晟辰工程造价咨询有限公司</w:t>
      </w:r>
    </w:p>
    <w:p>
      <w:pPr>
        <w:spacing w:after="0" w:line="540" w:lineRule="exact"/>
        <w:ind w:firstLine="456" w:firstLineChars="200"/>
        <w:rPr>
          <w:rFonts w:hint="eastAsia" w:ascii="宋体" w:hAnsi="宋体" w:cs="宋体"/>
          <w:color w:val="auto"/>
          <w:sz w:val="24"/>
          <w:szCs w:val="24"/>
        </w:rPr>
      </w:pPr>
      <w:r>
        <w:rPr>
          <w:rFonts w:hint="eastAsia" w:ascii="宋体" w:hAnsi="宋体" w:cs="宋体"/>
          <w:color w:val="auto"/>
          <w:sz w:val="24"/>
          <w:szCs w:val="24"/>
        </w:rPr>
        <w:t>开户银行：中国光大银行天津西湖道支行</w:t>
      </w:r>
    </w:p>
    <w:p>
      <w:pPr>
        <w:spacing w:after="0" w:line="540" w:lineRule="exact"/>
        <w:ind w:firstLine="456" w:firstLineChars="200"/>
        <w:rPr>
          <w:rFonts w:hint="eastAsia" w:ascii="宋体" w:hAnsi="宋体" w:cs="宋体"/>
          <w:color w:val="auto"/>
          <w:sz w:val="24"/>
          <w:szCs w:val="24"/>
        </w:rPr>
      </w:pPr>
      <w:r>
        <w:rPr>
          <w:rFonts w:hint="eastAsia" w:ascii="宋体" w:hAnsi="宋体" w:cs="宋体"/>
          <w:color w:val="auto"/>
          <w:sz w:val="24"/>
          <w:szCs w:val="24"/>
        </w:rPr>
        <w:t>开户行行号：303110079717</w:t>
      </w:r>
    </w:p>
    <w:p>
      <w:pPr>
        <w:spacing w:after="0" w:line="540" w:lineRule="exact"/>
        <w:ind w:firstLine="456" w:firstLineChars="200"/>
        <w:rPr>
          <w:rFonts w:hint="eastAsia" w:ascii="宋体" w:hAnsi="宋体" w:cs="宋体"/>
          <w:color w:val="auto"/>
          <w:sz w:val="24"/>
          <w:szCs w:val="24"/>
        </w:rPr>
      </w:pPr>
      <w:r>
        <w:rPr>
          <w:rFonts w:hint="eastAsia" w:ascii="宋体" w:hAnsi="宋体" w:cs="宋体"/>
          <w:color w:val="auto"/>
          <w:sz w:val="24"/>
          <w:szCs w:val="24"/>
        </w:rPr>
        <w:t>账    号： 79710188000049247</w:t>
      </w:r>
    </w:p>
    <w:p>
      <w:pPr>
        <w:spacing w:after="0" w:line="540" w:lineRule="exact"/>
        <w:rPr>
          <w:rFonts w:ascii="宋体" w:hAnsi="宋体" w:cs="宋体"/>
          <w:color w:val="auto"/>
          <w:sz w:val="24"/>
          <w:szCs w:val="24"/>
        </w:rPr>
      </w:pPr>
      <w:r>
        <w:rPr>
          <w:rFonts w:hint="eastAsia" w:ascii="宋体" w:hAnsi="宋体" w:cs="宋体"/>
          <w:color w:val="auto"/>
          <w:sz w:val="24"/>
          <w:szCs w:val="24"/>
        </w:rPr>
        <w:t>十一、质疑方式：</w:t>
      </w:r>
    </w:p>
    <w:p>
      <w:pPr>
        <w:spacing w:after="0" w:line="540" w:lineRule="exact"/>
        <w:ind w:firstLine="452" w:firstLineChars="198"/>
        <w:rPr>
          <w:rFonts w:ascii="宋体" w:hAnsi="宋体" w:cs="宋体"/>
          <w:color w:val="auto"/>
          <w:sz w:val="24"/>
          <w:szCs w:val="24"/>
        </w:rPr>
      </w:pPr>
      <w:r>
        <w:rPr>
          <w:rFonts w:hint="eastAsia" w:ascii="宋体" w:hAnsi="宋体" w:cs="宋体"/>
          <w:color w:val="auto"/>
          <w:sz w:val="24"/>
          <w:szCs w:val="24"/>
        </w:rPr>
        <w:t>供应商认为招标文件或招标公告使自己的合法权益受到损害的，可以在获取招标文件之日或招标公告期限届满之日起7个工作日内一次性提出针对同一采购程序环节的质疑，以书面形式向采购人和天津晟辰工程造价咨询有限公司提出质疑，逾期不予受理。供应商对质疑答复不满意的，或者采购人、采购代理机构未在规定期限内作出答复的，供应商可以在质疑答复期满后15个工作日内，向采购人同级财政部门提出投诉，逾期不予受理。</w:t>
      </w:r>
    </w:p>
    <w:p>
      <w:pPr>
        <w:spacing w:after="0" w:line="540" w:lineRule="exact"/>
        <w:rPr>
          <w:rFonts w:ascii="宋体" w:hAnsi="宋体" w:cs="宋体"/>
          <w:color w:val="auto"/>
          <w:sz w:val="24"/>
          <w:szCs w:val="24"/>
        </w:rPr>
      </w:pPr>
      <w:r>
        <w:rPr>
          <w:rFonts w:hint="eastAsia" w:ascii="宋体" w:hAnsi="宋体" w:cs="宋体"/>
          <w:color w:val="auto"/>
          <w:sz w:val="24"/>
          <w:szCs w:val="24"/>
        </w:rPr>
        <w:t>十二、公告期限</w:t>
      </w:r>
    </w:p>
    <w:p>
      <w:pPr>
        <w:spacing w:after="0" w:line="540" w:lineRule="exact"/>
        <w:ind w:firstLine="228" w:firstLineChars="100"/>
        <w:rPr>
          <w:rFonts w:ascii="宋体" w:hAnsi="宋体" w:cs="宋体"/>
          <w:color w:val="auto"/>
          <w:sz w:val="24"/>
          <w:szCs w:val="24"/>
        </w:rPr>
      </w:pPr>
      <w:r>
        <w:rPr>
          <w:rFonts w:hint="eastAsia" w:ascii="宋体" w:hAnsi="宋体" w:cs="宋体"/>
          <w:color w:val="auto"/>
          <w:sz w:val="24"/>
          <w:szCs w:val="24"/>
        </w:rPr>
        <w:t>招标公告的公告期限为5个工作日。</w:t>
      </w:r>
    </w:p>
    <w:p>
      <w:pPr>
        <w:spacing w:after="0" w:line="540" w:lineRule="exact"/>
        <w:jc w:val="right"/>
        <w:rPr>
          <w:rFonts w:hint="eastAsia" w:ascii="宋体" w:hAnsi="宋体" w:cs="宋体"/>
          <w:color w:val="auto"/>
          <w:sz w:val="24"/>
          <w:szCs w:val="24"/>
        </w:rPr>
      </w:pPr>
      <w:r>
        <w:rPr>
          <w:rFonts w:hint="eastAsia" w:ascii="宋体" w:hAnsi="宋体" w:cs="宋体"/>
          <w:color w:val="auto"/>
          <w:sz w:val="24"/>
          <w:szCs w:val="24"/>
          <w:lang w:val="en-US" w:eastAsia="zh-CN"/>
        </w:rPr>
        <w:t>2022</w:t>
      </w:r>
      <w:r>
        <w:rPr>
          <w:rFonts w:hint="eastAsia" w:ascii="宋体" w:hAnsi="宋体" w:cs="宋体"/>
          <w:color w:val="auto"/>
          <w:sz w:val="24"/>
          <w:szCs w:val="24"/>
        </w:rPr>
        <w:t>年</w:t>
      </w:r>
      <w:r>
        <w:rPr>
          <w:rFonts w:hint="eastAsia" w:ascii="宋体" w:hAnsi="宋体" w:cs="宋体"/>
          <w:color w:val="auto"/>
          <w:sz w:val="24"/>
          <w:szCs w:val="24"/>
          <w:lang w:val="en-US" w:eastAsia="zh-CN"/>
        </w:rPr>
        <w:t>7</w:t>
      </w:r>
      <w:r>
        <w:rPr>
          <w:rFonts w:hint="eastAsia" w:ascii="宋体" w:hAnsi="宋体" w:cs="宋体"/>
          <w:color w:val="auto"/>
          <w:sz w:val="24"/>
          <w:szCs w:val="24"/>
        </w:rPr>
        <w:t>月</w:t>
      </w:r>
      <w:r>
        <w:rPr>
          <w:rFonts w:hint="eastAsia" w:ascii="宋体" w:hAnsi="宋体" w:cs="宋体"/>
          <w:color w:val="auto"/>
          <w:sz w:val="24"/>
          <w:szCs w:val="24"/>
          <w:lang w:val="en-US" w:eastAsia="zh-CN"/>
        </w:rPr>
        <w:t>8</w:t>
      </w:r>
      <w:r>
        <w:rPr>
          <w:rFonts w:hint="eastAsia" w:ascii="宋体" w:hAnsi="宋体" w:cs="宋体"/>
          <w:color w:val="auto"/>
          <w:sz w:val="24"/>
          <w:szCs w:val="24"/>
        </w:rPr>
        <w:t>日</w:t>
      </w:r>
      <w:bookmarkStart w:id="4" w:name="_Toc412903615"/>
    </w:p>
    <w:p>
      <w:pPr>
        <w:pStyle w:val="44"/>
        <w:rPr>
          <w:rFonts w:hint="eastAsia" w:ascii="宋体" w:hAnsi="宋体" w:cs="宋体"/>
          <w:color w:val="auto"/>
          <w:sz w:val="24"/>
          <w:szCs w:val="24"/>
        </w:rPr>
      </w:pPr>
    </w:p>
    <w:p>
      <w:pPr>
        <w:pStyle w:val="44"/>
        <w:rPr>
          <w:rFonts w:hint="eastAsia" w:ascii="宋体" w:hAnsi="宋体" w:cs="宋体"/>
          <w:color w:val="auto"/>
          <w:sz w:val="24"/>
          <w:szCs w:val="24"/>
        </w:rPr>
      </w:pPr>
    </w:p>
    <w:p>
      <w:pPr>
        <w:pStyle w:val="44"/>
        <w:rPr>
          <w:rFonts w:hint="eastAsia" w:ascii="宋体" w:hAnsi="宋体" w:cs="宋体"/>
          <w:color w:val="auto"/>
          <w:sz w:val="24"/>
          <w:szCs w:val="24"/>
        </w:rPr>
      </w:pPr>
    </w:p>
    <w:p>
      <w:pPr>
        <w:pStyle w:val="44"/>
        <w:rPr>
          <w:rFonts w:hint="eastAsia" w:ascii="宋体" w:hAnsi="宋体" w:cs="宋体"/>
          <w:color w:val="auto"/>
          <w:sz w:val="24"/>
          <w:szCs w:val="24"/>
        </w:rPr>
      </w:pPr>
    </w:p>
    <w:p>
      <w:pPr>
        <w:pStyle w:val="44"/>
        <w:rPr>
          <w:rFonts w:hint="eastAsia" w:ascii="宋体" w:hAnsi="宋体" w:cs="宋体"/>
          <w:color w:val="auto"/>
          <w:sz w:val="24"/>
          <w:szCs w:val="24"/>
        </w:rPr>
      </w:pPr>
    </w:p>
    <w:p>
      <w:pPr>
        <w:pStyle w:val="44"/>
        <w:rPr>
          <w:rFonts w:hint="eastAsia" w:ascii="宋体" w:hAnsi="宋体" w:cs="宋体"/>
          <w:color w:val="auto"/>
          <w:sz w:val="24"/>
          <w:szCs w:val="24"/>
        </w:rPr>
      </w:pPr>
    </w:p>
    <w:p>
      <w:pPr>
        <w:pStyle w:val="44"/>
        <w:rPr>
          <w:rFonts w:hint="eastAsia" w:ascii="宋体" w:hAnsi="宋体" w:cs="宋体"/>
          <w:color w:val="auto"/>
          <w:sz w:val="24"/>
          <w:szCs w:val="24"/>
        </w:rPr>
      </w:pPr>
    </w:p>
    <w:p>
      <w:pPr>
        <w:pStyle w:val="44"/>
        <w:rPr>
          <w:rFonts w:hint="eastAsia" w:ascii="宋体" w:hAnsi="宋体" w:cs="宋体"/>
          <w:color w:val="auto"/>
          <w:sz w:val="24"/>
          <w:szCs w:val="24"/>
        </w:rPr>
      </w:pPr>
    </w:p>
    <w:p>
      <w:pPr>
        <w:pStyle w:val="44"/>
        <w:rPr>
          <w:rFonts w:hint="eastAsia" w:ascii="宋体" w:hAnsi="宋体" w:cs="宋体"/>
          <w:color w:val="auto"/>
          <w:sz w:val="24"/>
          <w:szCs w:val="24"/>
        </w:rPr>
      </w:pPr>
    </w:p>
    <w:p>
      <w:pPr>
        <w:pStyle w:val="44"/>
        <w:rPr>
          <w:rFonts w:hint="eastAsia" w:ascii="宋体" w:hAnsi="宋体" w:cs="宋体"/>
          <w:color w:val="auto"/>
          <w:sz w:val="24"/>
          <w:szCs w:val="24"/>
        </w:rPr>
      </w:pPr>
    </w:p>
    <w:p>
      <w:pPr>
        <w:pStyle w:val="44"/>
        <w:rPr>
          <w:rFonts w:hint="eastAsia" w:ascii="宋体" w:hAnsi="宋体" w:cs="宋体"/>
          <w:color w:val="auto"/>
          <w:sz w:val="24"/>
          <w:szCs w:val="24"/>
        </w:rPr>
      </w:pPr>
    </w:p>
    <w:p>
      <w:pPr>
        <w:pStyle w:val="44"/>
        <w:rPr>
          <w:rFonts w:hint="eastAsia" w:ascii="宋体" w:hAnsi="宋体" w:cs="宋体"/>
          <w:color w:val="auto"/>
          <w:sz w:val="24"/>
          <w:szCs w:val="24"/>
        </w:rPr>
      </w:pPr>
    </w:p>
    <w:p>
      <w:pPr>
        <w:pStyle w:val="44"/>
        <w:rPr>
          <w:rFonts w:hint="eastAsia" w:ascii="宋体" w:hAnsi="宋体" w:cs="宋体"/>
          <w:color w:val="auto"/>
          <w:sz w:val="24"/>
          <w:szCs w:val="24"/>
        </w:rPr>
      </w:pPr>
    </w:p>
    <w:p>
      <w:pPr>
        <w:pStyle w:val="44"/>
        <w:rPr>
          <w:rFonts w:hint="eastAsia" w:ascii="宋体" w:hAnsi="宋体" w:cs="宋体"/>
          <w:color w:val="auto"/>
          <w:sz w:val="24"/>
          <w:szCs w:val="24"/>
        </w:rPr>
      </w:pPr>
    </w:p>
    <w:p>
      <w:pPr>
        <w:pStyle w:val="44"/>
        <w:rPr>
          <w:rFonts w:hint="eastAsia" w:ascii="宋体" w:hAnsi="宋体" w:cs="宋体"/>
          <w:color w:val="auto"/>
          <w:sz w:val="24"/>
          <w:szCs w:val="24"/>
        </w:rPr>
      </w:pPr>
    </w:p>
    <w:p>
      <w:pPr>
        <w:pStyle w:val="44"/>
        <w:rPr>
          <w:rFonts w:hint="eastAsia" w:ascii="宋体" w:hAnsi="宋体" w:cs="宋体"/>
          <w:color w:val="auto"/>
          <w:sz w:val="24"/>
          <w:szCs w:val="24"/>
        </w:rPr>
      </w:pPr>
    </w:p>
    <w:p>
      <w:pPr>
        <w:pStyle w:val="3"/>
        <w:jc w:val="center"/>
        <w:rPr>
          <w:rFonts w:ascii="宋体" w:hAnsi="宋体" w:cs="宋体"/>
          <w:color w:val="auto"/>
          <w:sz w:val="30"/>
          <w:szCs w:val="30"/>
        </w:rPr>
      </w:pPr>
      <w:bookmarkStart w:id="5" w:name="_Toc521247250"/>
      <w:r>
        <w:rPr>
          <w:rFonts w:hint="eastAsia" w:ascii="宋体" w:hAnsi="宋体" w:cs="宋体"/>
          <w:color w:val="auto"/>
          <w:sz w:val="30"/>
          <w:szCs w:val="30"/>
        </w:rPr>
        <w:t>第二部分 招标项目要求</w:t>
      </w:r>
      <w:bookmarkEnd w:id="4"/>
      <w:bookmarkEnd w:id="5"/>
    </w:p>
    <w:p>
      <w:pPr>
        <w:spacing w:after="0" w:line="560" w:lineRule="exact"/>
        <w:ind w:firstLine="335" w:firstLineChars="147"/>
        <w:rPr>
          <w:rFonts w:hint="eastAsia" w:ascii="宋体" w:hAnsi="宋体" w:eastAsia="宋体" w:cs="宋体"/>
          <w:color w:val="auto"/>
          <w:sz w:val="24"/>
          <w:szCs w:val="24"/>
        </w:rPr>
      </w:pPr>
      <w:r>
        <w:rPr>
          <w:rFonts w:hint="eastAsia" w:ascii="宋体" w:hAnsi="宋体" w:eastAsia="宋体" w:cs="宋体"/>
          <w:color w:val="auto"/>
          <w:sz w:val="24"/>
          <w:szCs w:val="24"/>
        </w:rPr>
        <w:t>本项目就超高效液相色谱-串联四极杆质谱联用仪设备购置项目进行</w:t>
      </w:r>
      <w:r>
        <w:rPr>
          <w:rFonts w:hint="eastAsia" w:ascii="宋体" w:hAnsi="宋体" w:cs="宋体"/>
          <w:color w:val="auto"/>
          <w:sz w:val="24"/>
          <w:szCs w:val="24"/>
          <w:lang w:val="en-US" w:eastAsia="zh-CN"/>
        </w:rPr>
        <w:t>公开招标</w:t>
      </w:r>
      <w:r>
        <w:rPr>
          <w:rFonts w:hint="eastAsia" w:ascii="宋体" w:hAnsi="宋体" w:eastAsia="宋体" w:cs="宋体"/>
          <w:color w:val="auto"/>
          <w:sz w:val="24"/>
          <w:szCs w:val="24"/>
        </w:rPr>
        <w:t>，凡符合《中华人民共和国政府采购法》规定的</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，均可参加投标。本部分内容若与其他部分有不同之处，以本部分内容为准。</w:t>
      </w:r>
    </w:p>
    <w:p>
      <w:pPr>
        <w:spacing w:after="0" w:line="560" w:lineRule="exact"/>
        <w:rPr>
          <w:rFonts w:ascii="宋体" w:hAnsi="宋体" w:cs="宋体"/>
          <w:b/>
          <w:color w:val="auto"/>
          <w:sz w:val="24"/>
          <w:szCs w:val="24"/>
        </w:rPr>
      </w:pPr>
      <w:r>
        <w:rPr>
          <w:rFonts w:hint="eastAsia" w:ascii="宋体" w:hAnsi="宋体" w:cs="宋体"/>
          <w:b/>
          <w:color w:val="auto"/>
          <w:sz w:val="24"/>
          <w:szCs w:val="24"/>
        </w:rPr>
        <w:t>一、</w:t>
      </w:r>
      <w:r>
        <w:rPr>
          <w:rFonts w:hint="eastAsia" w:ascii="宋体" w:hAnsi="宋体" w:cs="宋体"/>
          <w:b/>
          <w:color w:val="auto"/>
          <w:sz w:val="24"/>
          <w:szCs w:val="24"/>
          <w:lang w:eastAsia="zh-CN"/>
        </w:rPr>
        <w:t>供应商</w:t>
      </w:r>
      <w:r>
        <w:rPr>
          <w:rFonts w:hint="eastAsia" w:ascii="宋体" w:hAnsi="宋体" w:cs="宋体"/>
          <w:b/>
          <w:color w:val="auto"/>
          <w:sz w:val="24"/>
          <w:szCs w:val="24"/>
        </w:rPr>
        <w:t>实施能力：</w:t>
      </w:r>
    </w:p>
    <w:p>
      <w:pPr>
        <w:spacing w:after="0" w:line="560" w:lineRule="exact"/>
        <w:ind w:firstLine="335" w:firstLineChars="147"/>
        <w:rPr>
          <w:rFonts w:ascii="宋体" w:hAnsi="宋体" w:cs="宋体"/>
          <w:color w:val="auto"/>
          <w:sz w:val="24"/>
          <w:szCs w:val="24"/>
        </w:rPr>
      </w:pPr>
      <w:r>
        <w:rPr>
          <w:rFonts w:hint="eastAsia" w:ascii="宋体" w:hAnsi="宋体" w:cs="宋体"/>
          <w:color w:val="auto"/>
          <w:sz w:val="24"/>
          <w:szCs w:val="24"/>
        </w:rPr>
        <w:t>完全按照以下要求提供与本项目内容相当且已完成的201</w:t>
      </w:r>
      <w:r>
        <w:rPr>
          <w:rFonts w:hint="eastAsia" w:ascii="宋体" w:hAnsi="宋体" w:cs="宋体"/>
          <w:color w:val="auto"/>
          <w:sz w:val="24"/>
          <w:szCs w:val="24"/>
          <w:lang w:val="en-US" w:eastAsia="zh-CN"/>
        </w:rPr>
        <w:t>9</w:t>
      </w:r>
      <w:r>
        <w:rPr>
          <w:rFonts w:hint="eastAsia" w:ascii="宋体" w:hAnsi="宋体" w:cs="宋体"/>
          <w:color w:val="auto"/>
          <w:sz w:val="24"/>
          <w:szCs w:val="24"/>
        </w:rPr>
        <w:t>年至今的成功案例，按照以下要求执行提供的证明材料均不得遮挡涂黑，否则不予认定加分。</w:t>
      </w:r>
    </w:p>
    <w:p>
      <w:pPr>
        <w:spacing w:after="0" w:line="560" w:lineRule="exact"/>
        <w:rPr>
          <w:rFonts w:ascii="宋体" w:hAnsi="宋体" w:cs="宋体"/>
          <w:color w:val="auto"/>
          <w:sz w:val="24"/>
          <w:szCs w:val="24"/>
        </w:rPr>
      </w:pPr>
      <w:r>
        <w:rPr>
          <w:rFonts w:hint="eastAsia" w:ascii="宋体" w:hAnsi="宋体" w:cs="宋体"/>
          <w:color w:val="auto"/>
          <w:sz w:val="24"/>
          <w:szCs w:val="24"/>
        </w:rPr>
        <w:t>（1）合同复印件。包括合同金额、买卖双方名称及盖章。</w:t>
      </w:r>
    </w:p>
    <w:p>
      <w:pPr>
        <w:spacing w:after="0" w:line="560" w:lineRule="exact"/>
        <w:rPr>
          <w:rFonts w:ascii="宋体" w:hAnsi="宋体" w:cs="宋体"/>
          <w:color w:val="auto"/>
          <w:sz w:val="24"/>
          <w:szCs w:val="24"/>
        </w:rPr>
      </w:pPr>
      <w:r>
        <w:rPr>
          <w:rFonts w:hint="eastAsia" w:ascii="宋体" w:hAnsi="宋体" w:cs="宋体"/>
          <w:color w:val="auto"/>
          <w:sz w:val="24"/>
          <w:szCs w:val="24"/>
        </w:rPr>
        <w:t>（2）验收报告复印件。</w:t>
      </w:r>
    </w:p>
    <w:p>
      <w:pPr>
        <w:spacing w:after="0" w:line="560" w:lineRule="exact"/>
        <w:rPr>
          <w:rFonts w:ascii="宋体" w:hAnsi="宋体" w:cs="宋体"/>
          <w:color w:val="auto"/>
          <w:sz w:val="24"/>
          <w:szCs w:val="24"/>
        </w:rPr>
      </w:pPr>
      <w:r>
        <w:rPr>
          <w:rFonts w:hint="eastAsia" w:ascii="宋体" w:hAnsi="宋体" w:cs="宋体"/>
          <w:color w:val="auto"/>
          <w:sz w:val="24"/>
          <w:szCs w:val="24"/>
        </w:rPr>
        <w:t>（3）用户出具的成功履行合同的相关证明材料。</w:t>
      </w:r>
    </w:p>
    <w:p>
      <w:pPr>
        <w:spacing w:after="0" w:line="560" w:lineRule="exact"/>
        <w:rPr>
          <w:rFonts w:ascii="宋体" w:hAnsi="宋体" w:cs="宋体"/>
          <w:color w:val="auto"/>
          <w:sz w:val="24"/>
          <w:szCs w:val="24"/>
        </w:rPr>
      </w:pPr>
      <w:r>
        <w:rPr>
          <w:rFonts w:hint="eastAsia" w:ascii="宋体" w:hAnsi="宋体" w:cs="宋体"/>
          <w:color w:val="auto"/>
          <w:sz w:val="24"/>
          <w:szCs w:val="24"/>
        </w:rPr>
        <w:t>（4）第（2）、（3）项可提供任意一项。</w:t>
      </w:r>
    </w:p>
    <w:p>
      <w:pPr>
        <w:spacing w:after="0" w:line="560" w:lineRule="exact"/>
        <w:rPr>
          <w:rFonts w:ascii="宋体" w:hAnsi="宋体" w:cs="宋体"/>
          <w:b/>
          <w:color w:val="auto"/>
          <w:sz w:val="24"/>
          <w:szCs w:val="24"/>
        </w:rPr>
      </w:pPr>
      <w:r>
        <w:rPr>
          <w:rFonts w:hint="eastAsia" w:ascii="宋体" w:hAnsi="宋体" w:cs="宋体"/>
          <w:b/>
          <w:color w:val="auto"/>
          <w:sz w:val="24"/>
          <w:szCs w:val="24"/>
        </w:rPr>
        <w:t>二、技术要求：</w:t>
      </w:r>
    </w:p>
    <w:p>
      <w:pPr>
        <w:spacing w:after="0" w:line="560" w:lineRule="exact"/>
        <w:ind w:firstLine="456" w:firstLineChars="200"/>
        <w:rPr>
          <w:rFonts w:ascii="宋体" w:hAnsi="宋体" w:cs="宋体"/>
          <w:bCs/>
          <w:color w:val="auto"/>
          <w:sz w:val="24"/>
          <w:szCs w:val="24"/>
        </w:rPr>
      </w:pPr>
      <w:r>
        <w:rPr>
          <w:rFonts w:hint="eastAsia" w:ascii="宋体" w:hAnsi="宋体" w:cs="宋体"/>
          <w:bCs/>
          <w:color w:val="auto"/>
          <w:sz w:val="24"/>
          <w:szCs w:val="24"/>
        </w:rPr>
        <w:t>（一）</w:t>
      </w:r>
      <w:r>
        <w:rPr>
          <w:rFonts w:hint="eastAsia" w:ascii="宋体" w:hAnsi="宋体" w:cs="宋体"/>
          <w:bCs/>
          <w:color w:val="auto"/>
          <w:sz w:val="24"/>
          <w:szCs w:val="24"/>
          <w:lang w:eastAsia="zh-CN"/>
        </w:rPr>
        <w:t>供应商</w:t>
      </w:r>
      <w:r>
        <w:rPr>
          <w:rFonts w:hint="eastAsia" w:ascii="宋体" w:hAnsi="宋体" w:cs="宋体"/>
          <w:bCs/>
          <w:color w:val="auto"/>
          <w:sz w:val="24"/>
          <w:szCs w:val="24"/>
        </w:rPr>
        <w:t>须承诺所投产品和服务符合相关强制性规定。交货时采购人有权要求供应商出具所投产品、服务符合上述规定的证明文件。</w:t>
      </w:r>
    </w:p>
    <w:p>
      <w:pPr>
        <w:spacing w:after="0" w:line="560" w:lineRule="exact"/>
        <w:ind w:firstLine="456" w:firstLineChars="200"/>
        <w:rPr>
          <w:rFonts w:ascii="宋体" w:hAnsi="宋体" w:cs="宋体"/>
          <w:bCs/>
          <w:color w:val="auto"/>
          <w:sz w:val="24"/>
          <w:szCs w:val="24"/>
        </w:rPr>
      </w:pPr>
      <w:r>
        <w:rPr>
          <w:rFonts w:hint="eastAsia" w:ascii="宋体" w:hAnsi="宋体" w:cs="宋体"/>
          <w:bCs/>
          <w:color w:val="auto"/>
          <w:sz w:val="24"/>
          <w:szCs w:val="24"/>
        </w:rPr>
        <w:t>（二）</w:t>
      </w:r>
      <w:r>
        <w:rPr>
          <w:rFonts w:hint="eastAsia" w:ascii="宋体" w:hAnsi="宋体" w:cs="宋体"/>
          <w:bCs/>
          <w:color w:val="auto"/>
          <w:sz w:val="24"/>
          <w:szCs w:val="24"/>
          <w:lang w:val="en-US" w:eastAsia="zh-CN"/>
        </w:rPr>
        <w:t>投标</w:t>
      </w:r>
      <w:r>
        <w:rPr>
          <w:rFonts w:hint="eastAsia" w:ascii="宋体" w:hAnsi="宋体" w:cs="宋体"/>
          <w:bCs/>
          <w:color w:val="auto"/>
          <w:sz w:val="24"/>
          <w:szCs w:val="24"/>
        </w:rPr>
        <w:t>文件中对所投产品的名称、品牌、制造商、产地、主要技术性能指标及其在技术、安全、性能、管理、厂家标准、使用年限及售后服务等方面情况提供详细的具有法律效力的技术资料。</w:t>
      </w:r>
    </w:p>
    <w:p>
      <w:pPr>
        <w:spacing w:after="0" w:line="560" w:lineRule="exact"/>
        <w:ind w:firstLine="456" w:firstLineChars="200"/>
        <w:rPr>
          <w:rFonts w:ascii="宋体" w:hAnsi="宋体" w:cs="宋体"/>
          <w:bCs/>
          <w:color w:val="auto"/>
          <w:sz w:val="24"/>
          <w:szCs w:val="24"/>
        </w:rPr>
      </w:pPr>
      <w:r>
        <w:rPr>
          <w:rFonts w:hint="eastAsia" w:ascii="宋体" w:hAnsi="宋体" w:cs="宋体"/>
          <w:bCs/>
          <w:color w:val="auto"/>
          <w:sz w:val="24"/>
          <w:szCs w:val="24"/>
        </w:rPr>
        <w:t>（三）</w:t>
      </w:r>
      <w:r>
        <w:rPr>
          <w:rFonts w:hint="eastAsia" w:ascii="宋体" w:hAnsi="宋体" w:cs="宋体"/>
          <w:bCs/>
          <w:color w:val="auto"/>
          <w:sz w:val="24"/>
          <w:szCs w:val="24"/>
          <w:lang w:val="en-US" w:eastAsia="zh-CN"/>
        </w:rPr>
        <w:t>投标</w:t>
      </w:r>
      <w:r>
        <w:rPr>
          <w:rFonts w:hint="eastAsia" w:ascii="宋体" w:hAnsi="宋体" w:cs="宋体"/>
          <w:bCs/>
          <w:color w:val="auto"/>
          <w:sz w:val="24"/>
          <w:szCs w:val="24"/>
        </w:rPr>
        <w:t>文件中提供能够证明所投产品性能质量的证明材料，如检测报告、与所投产品相关的知识产权证书、第三方认证机构出具的认证证书等。</w:t>
      </w:r>
    </w:p>
    <w:p>
      <w:pPr>
        <w:spacing w:after="0" w:line="560" w:lineRule="exact"/>
        <w:ind w:firstLine="456" w:firstLineChars="200"/>
        <w:rPr>
          <w:rFonts w:hint="eastAsia" w:ascii="宋体" w:hAnsi="宋体" w:eastAsia="宋体" w:cs="宋体"/>
          <w:color w:val="auto"/>
          <w:lang w:val="zh-TW"/>
        </w:rPr>
      </w:pPr>
      <w:bookmarkStart w:id="6" w:name="_Toc513304699"/>
      <w:r>
        <w:rPr>
          <w:rFonts w:hint="eastAsia" w:ascii="宋体" w:hAnsi="宋体" w:eastAsia="宋体" w:cs="宋体"/>
          <w:color w:val="auto"/>
          <w:sz w:val="24"/>
          <w:szCs w:val="24"/>
        </w:rPr>
        <w:t>（四）</w:t>
      </w:r>
      <w:bookmarkEnd w:id="6"/>
      <w:r>
        <w:rPr>
          <w:rFonts w:hint="eastAsia" w:ascii="宋体" w:hAnsi="宋体" w:eastAsia="宋体" w:cs="宋体"/>
          <w:bCs/>
          <w:color w:val="auto"/>
          <w:sz w:val="24"/>
          <w:szCs w:val="24"/>
          <w:lang w:val="zh-TW"/>
        </w:rPr>
        <w:t>本项目不接受赠品或与采购无关的其它商品、服务、</w:t>
      </w:r>
      <w:r>
        <w:rPr>
          <w:rFonts w:hint="eastAsia" w:ascii="宋体" w:hAnsi="宋体" w:eastAsia="宋体" w:cs="宋体"/>
          <w:bCs/>
          <w:color w:val="auto"/>
          <w:sz w:val="24"/>
          <w:szCs w:val="24"/>
          <w:lang w:val="zh-TW" w:eastAsia="zh-CN"/>
        </w:rPr>
        <w:t>供应商</w:t>
      </w:r>
      <w:r>
        <w:rPr>
          <w:rFonts w:hint="eastAsia" w:ascii="宋体" w:hAnsi="宋体" w:eastAsia="宋体" w:cs="宋体"/>
          <w:bCs/>
          <w:color w:val="auto"/>
          <w:sz w:val="24"/>
          <w:szCs w:val="24"/>
          <w:lang w:val="zh-TW"/>
        </w:rPr>
        <w:t>亦不得以采购人要求实施前述馈赠、回扣等行为。</w:t>
      </w:r>
    </w:p>
    <w:p>
      <w:pPr>
        <w:spacing w:after="0" w:line="560" w:lineRule="exact"/>
        <w:ind w:firstLine="456" w:firstLineChars="200"/>
        <w:rPr>
          <w:rFonts w:ascii="宋体" w:hAnsi="宋体" w:cs="宋体"/>
          <w:bCs/>
          <w:color w:val="auto"/>
          <w:sz w:val="24"/>
          <w:szCs w:val="24"/>
        </w:rPr>
      </w:pPr>
      <w:r>
        <w:rPr>
          <w:rFonts w:hint="eastAsia" w:ascii="宋体" w:hAnsi="宋体" w:cs="宋体"/>
          <w:bCs/>
          <w:color w:val="auto"/>
          <w:sz w:val="24"/>
          <w:szCs w:val="24"/>
        </w:rPr>
        <w:t>（</w:t>
      </w:r>
      <w:r>
        <w:rPr>
          <w:rFonts w:hint="eastAsia" w:ascii="宋体" w:hAnsi="宋体" w:cs="宋体"/>
          <w:bCs/>
          <w:color w:val="auto"/>
          <w:sz w:val="24"/>
          <w:szCs w:val="24"/>
          <w:lang w:val="en-US" w:eastAsia="zh-CN"/>
        </w:rPr>
        <w:t>五</w:t>
      </w:r>
      <w:r>
        <w:rPr>
          <w:rFonts w:hint="eastAsia" w:ascii="宋体" w:hAnsi="宋体" w:cs="宋体"/>
          <w:bCs/>
          <w:color w:val="auto"/>
          <w:sz w:val="24"/>
          <w:szCs w:val="24"/>
        </w:rPr>
        <w:t>）具体需求详见本部分项目需求书。</w:t>
      </w:r>
    </w:p>
    <w:p>
      <w:pPr>
        <w:spacing w:after="0" w:line="560" w:lineRule="exact"/>
        <w:rPr>
          <w:rFonts w:ascii="宋体" w:hAnsi="宋体" w:cs="宋体"/>
          <w:b/>
          <w:color w:val="auto"/>
          <w:sz w:val="24"/>
          <w:szCs w:val="24"/>
        </w:rPr>
      </w:pPr>
      <w:r>
        <w:rPr>
          <w:rFonts w:hint="eastAsia" w:ascii="宋体" w:hAnsi="宋体" w:cs="宋体"/>
          <w:b/>
          <w:color w:val="auto"/>
          <w:sz w:val="24"/>
          <w:szCs w:val="24"/>
        </w:rPr>
        <w:t>三、商务要求</w:t>
      </w:r>
    </w:p>
    <w:p>
      <w:pPr>
        <w:spacing w:after="0" w:line="560" w:lineRule="exact"/>
        <w:rPr>
          <w:rFonts w:ascii="宋体" w:hAnsi="宋体" w:cs="宋体"/>
          <w:color w:val="auto"/>
          <w:sz w:val="24"/>
          <w:szCs w:val="24"/>
        </w:rPr>
      </w:pPr>
      <w:r>
        <w:rPr>
          <w:rFonts w:hint="eastAsia" w:ascii="宋体" w:hAnsi="宋体" w:cs="宋体"/>
          <w:color w:val="auto"/>
          <w:sz w:val="24"/>
          <w:szCs w:val="24"/>
        </w:rPr>
        <w:t>（一）报价要求</w:t>
      </w:r>
    </w:p>
    <w:p>
      <w:pPr>
        <w:spacing w:after="0" w:line="560" w:lineRule="exact"/>
        <w:ind w:firstLine="224" w:firstLineChars="98"/>
        <w:rPr>
          <w:rFonts w:ascii="宋体" w:hAnsi="宋体" w:cs="宋体"/>
          <w:color w:val="auto"/>
          <w:sz w:val="24"/>
          <w:szCs w:val="24"/>
        </w:rPr>
      </w:pPr>
      <w:r>
        <w:rPr>
          <w:rFonts w:hint="eastAsia" w:ascii="宋体" w:hAnsi="宋体" w:cs="宋体"/>
          <w:color w:val="auto"/>
          <w:sz w:val="24"/>
          <w:szCs w:val="24"/>
        </w:rPr>
        <w:t>1. 投标报价以人民币填列。</w:t>
      </w:r>
    </w:p>
    <w:p>
      <w:pPr>
        <w:spacing w:after="0" w:line="560" w:lineRule="exact"/>
        <w:ind w:firstLine="224" w:firstLineChars="98"/>
        <w:rPr>
          <w:rFonts w:ascii="宋体" w:hAnsi="宋体" w:cs="宋体"/>
          <w:color w:val="auto"/>
          <w:sz w:val="24"/>
          <w:szCs w:val="24"/>
        </w:rPr>
      </w:pPr>
      <w:r>
        <w:rPr>
          <w:rFonts w:hint="eastAsia" w:ascii="宋体" w:hAnsi="宋体" w:cs="宋体"/>
          <w:color w:val="auto"/>
          <w:sz w:val="24"/>
          <w:szCs w:val="24"/>
        </w:rPr>
        <w:t xml:space="preserve">2. </w:t>
      </w:r>
      <w:r>
        <w:rPr>
          <w:rFonts w:hint="eastAsia" w:ascii="宋体" w:hAnsi="宋体" w:cs="宋体"/>
          <w:color w:val="auto"/>
          <w:sz w:val="24"/>
          <w:szCs w:val="24"/>
          <w:lang w:eastAsia="zh-CN"/>
        </w:rPr>
        <w:t>供应商</w:t>
      </w:r>
      <w:r>
        <w:rPr>
          <w:rFonts w:hint="eastAsia" w:ascii="宋体" w:hAnsi="宋体" w:cs="宋体"/>
          <w:color w:val="auto"/>
          <w:sz w:val="24"/>
          <w:szCs w:val="24"/>
        </w:rPr>
        <w:t>的报价应包括：设备主机及附件货款</w:t>
      </w:r>
      <w:r>
        <w:rPr>
          <w:rFonts w:hint="eastAsia" w:ascii="宋体" w:hAnsi="宋体" w:cs="宋体"/>
          <w:color w:val="auto"/>
          <w:sz w:val="24"/>
          <w:szCs w:val="24"/>
          <w:lang w:eastAsia="zh-CN"/>
        </w:rPr>
        <w:t>、</w:t>
      </w:r>
      <w:r>
        <w:rPr>
          <w:rFonts w:hint="eastAsia" w:ascii="宋体" w:hAnsi="宋体" w:cs="宋体"/>
          <w:color w:val="auto"/>
          <w:sz w:val="24"/>
          <w:szCs w:val="24"/>
        </w:rPr>
        <w:t>运输费</w:t>
      </w:r>
      <w:r>
        <w:rPr>
          <w:rFonts w:hint="eastAsia" w:ascii="宋体" w:hAnsi="宋体" w:cs="宋体"/>
          <w:color w:val="auto"/>
          <w:sz w:val="24"/>
          <w:szCs w:val="24"/>
          <w:lang w:eastAsia="zh-CN"/>
        </w:rPr>
        <w:t>、</w:t>
      </w:r>
      <w:r>
        <w:rPr>
          <w:rFonts w:hint="eastAsia" w:ascii="宋体" w:hAnsi="宋体" w:cs="宋体"/>
          <w:color w:val="auto"/>
          <w:sz w:val="24"/>
          <w:szCs w:val="24"/>
        </w:rPr>
        <w:t>运输保险费</w:t>
      </w:r>
      <w:r>
        <w:rPr>
          <w:rFonts w:hint="eastAsia" w:ascii="宋体" w:hAnsi="宋体" w:cs="宋体"/>
          <w:color w:val="auto"/>
          <w:sz w:val="24"/>
          <w:szCs w:val="24"/>
          <w:lang w:eastAsia="zh-CN"/>
        </w:rPr>
        <w:t>、</w:t>
      </w:r>
      <w:r>
        <w:rPr>
          <w:rFonts w:hint="eastAsia" w:ascii="宋体" w:hAnsi="宋体" w:cs="宋体"/>
          <w:color w:val="auto"/>
          <w:sz w:val="24"/>
          <w:szCs w:val="24"/>
        </w:rPr>
        <w:t>装卸费</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税金、</w:t>
      </w:r>
      <w:r>
        <w:rPr>
          <w:rFonts w:hint="eastAsia" w:ascii="宋体" w:hAnsi="宋体" w:cs="宋体"/>
          <w:color w:val="auto"/>
          <w:sz w:val="24"/>
          <w:szCs w:val="24"/>
        </w:rPr>
        <w:t>安装调试费</w:t>
      </w:r>
      <w:r>
        <w:rPr>
          <w:rFonts w:hint="eastAsia" w:ascii="宋体" w:hAnsi="宋体" w:cs="宋体"/>
          <w:color w:val="auto"/>
          <w:sz w:val="24"/>
          <w:szCs w:val="24"/>
          <w:lang w:eastAsia="zh-CN"/>
        </w:rPr>
        <w:t>、</w:t>
      </w:r>
      <w:r>
        <w:rPr>
          <w:rFonts w:hint="eastAsia" w:ascii="宋体" w:hAnsi="宋体" w:cs="宋体"/>
          <w:color w:val="auto"/>
          <w:sz w:val="24"/>
          <w:szCs w:val="24"/>
        </w:rPr>
        <w:t>外贸代理费（免税进口设备）以及其他应有的费用。投标人所报价格为货到现场安装调试完成的最终优惠价格。中标后采购人不再另外支付任何其他费用。</w:t>
      </w:r>
    </w:p>
    <w:p>
      <w:pPr>
        <w:spacing w:after="0" w:line="560" w:lineRule="exact"/>
        <w:ind w:firstLine="224" w:firstLineChars="98"/>
        <w:rPr>
          <w:rFonts w:hint="eastAsia"/>
          <w:color w:val="auto"/>
          <w:sz w:val="24"/>
        </w:rPr>
      </w:pPr>
      <w:r>
        <w:rPr>
          <w:rFonts w:ascii="宋体" w:hAnsi="宋体"/>
          <w:color w:val="auto"/>
          <w:sz w:val="24"/>
          <w:szCs w:val="24"/>
        </w:rPr>
        <w:t>3.</w:t>
      </w:r>
      <w:r>
        <w:rPr>
          <w:rFonts w:hint="eastAsia"/>
          <w:color w:val="auto"/>
          <w:sz w:val="24"/>
        </w:rPr>
        <w:t>所投产品如为进口产品，投标报价以免税后人民币填列并注明汇率（相关费用由投标人承担并计入投标总价）。</w:t>
      </w:r>
    </w:p>
    <w:p>
      <w:pPr>
        <w:spacing w:after="0" w:line="560" w:lineRule="exact"/>
        <w:ind w:firstLine="224" w:firstLineChars="98"/>
        <w:rPr>
          <w:rFonts w:ascii="宋体" w:hAnsi="宋体"/>
          <w:color w:val="auto"/>
          <w:sz w:val="24"/>
          <w:szCs w:val="24"/>
        </w:rPr>
      </w:pPr>
      <w:r>
        <w:rPr>
          <w:rFonts w:hint="eastAsia" w:ascii="宋体" w:hAnsi="宋体"/>
          <w:color w:val="auto"/>
          <w:sz w:val="24"/>
          <w:szCs w:val="24"/>
          <w:lang w:val="en-US" w:eastAsia="zh-CN"/>
        </w:rPr>
        <w:t>4</w:t>
      </w:r>
      <w:r>
        <w:rPr>
          <w:rFonts w:hint="eastAsia" w:ascii="宋体" w:hAnsi="宋体"/>
          <w:color w:val="auto"/>
          <w:sz w:val="24"/>
          <w:szCs w:val="24"/>
        </w:rPr>
        <w:t>.投标人</w:t>
      </w:r>
      <w:r>
        <w:rPr>
          <w:rFonts w:hint="eastAsia"/>
          <w:color w:val="auto"/>
          <w:sz w:val="24"/>
        </w:rPr>
        <w:t>应根据本项目招标文件要求，结合企业自身情况及市场竞争情况自主报价，一旦投标人递交投标文件，将被视为已充分了解本项目需求及相关风险，其报价已包含为完成本项目所需的全部费用。合同实施过程中，不接受任何因投标人原因引起的交货期延长或费用增加。</w:t>
      </w:r>
    </w:p>
    <w:p>
      <w:pPr>
        <w:spacing w:after="0" w:line="560" w:lineRule="exact"/>
        <w:ind w:firstLine="224" w:firstLineChars="98"/>
        <w:rPr>
          <w:rFonts w:ascii="宋体" w:hAnsi="宋体" w:cs="宋体"/>
          <w:color w:val="auto"/>
          <w:sz w:val="24"/>
          <w:szCs w:val="24"/>
        </w:rPr>
      </w:pPr>
      <w:r>
        <w:rPr>
          <w:rFonts w:hint="eastAsia" w:ascii="宋体" w:hAnsi="宋体" w:cs="宋体"/>
          <w:color w:val="auto"/>
          <w:sz w:val="24"/>
          <w:szCs w:val="24"/>
          <w:lang w:val="en-US" w:eastAsia="zh-CN"/>
        </w:rPr>
        <w:t>5</w:t>
      </w:r>
      <w:r>
        <w:rPr>
          <w:rFonts w:hint="eastAsia" w:ascii="宋体" w:hAnsi="宋体" w:cs="宋体"/>
          <w:color w:val="auto"/>
          <w:sz w:val="24"/>
          <w:szCs w:val="24"/>
        </w:rPr>
        <w:t>.本项目为交钥匙工程。验收及相关费用由</w:t>
      </w:r>
      <w:r>
        <w:rPr>
          <w:rFonts w:hint="eastAsia" w:ascii="宋体" w:hAnsi="宋体" w:cs="宋体"/>
          <w:color w:val="auto"/>
          <w:sz w:val="24"/>
          <w:szCs w:val="24"/>
          <w:lang w:eastAsia="zh-CN"/>
        </w:rPr>
        <w:t>供应商</w:t>
      </w:r>
      <w:r>
        <w:rPr>
          <w:rFonts w:hint="eastAsia" w:ascii="宋体" w:hAnsi="宋体" w:cs="宋体"/>
          <w:color w:val="auto"/>
          <w:sz w:val="24"/>
          <w:szCs w:val="24"/>
        </w:rPr>
        <w:t>负责。</w:t>
      </w:r>
    </w:p>
    <w:p>
      <w:pPr>
        <w:spacing w:after="0" w:line="560" w:lineRule="exact"/>
        <w:ind w:firstLine="456" w:firstLineChars="200"/>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highlight w:val="none"/>
        </w:rPr>
        <w:t>二）服务要求：</w:t>
      </w:r>
    </w:p>
    <w:p>
      <w:pPr>
        <w:keepNext w:val="0"/>
        <w:keepLines w:val="0"/>
        <w:pageBreakBefore w:val="0"/>
        <w:widowControl/>
        <w:kinsoku/>
        <w:wordWrap/>
        <w:overflowPunct/>
        <w:topLinePunct w:val="0"/>
        <w:autoSpaceDE/>
        <w:autoSpaceDN/>
        <w:bidi w:val="0"/>
        <w:adjustRightInd/>
        <w:snapToGrid/>
        <w:spacing w:after="0" w:line="480" w:lineRule="exact"/>
        <w:ind w:firstLine="456"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1.提供所投产品</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年的免费上门保修，终身维修，保修期内免费更换零配件，7×24小时技术响应。保修期自验收合格之日起计算。</w:t>
      </w:r>
    </w:p>
    <w:p>
      <w:pPr>
        <w:keepNext w:val="0"/>
        <w:keepLines w:val="0"/>
        <w:pageBreakBefore w:val="0"/>
        <w:widowControl/>
        <w:kinsoku/>
        <w:wordWrap/>
        <w:overflowPunct/>
        <w:topLinePunct w:val="0"/>
        <w:autoSpaceDE/>
        <w:autoSpaceDN/>
        <w:bidi w:val="0"/>
        <w:adjustRightInd/>
        <w:snapToGrid/>
        <w:spacing w:after="0" w:line="480" w:lineRule="exact"/>
        <w:ind w:firstLine="456"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所投标的设备应是全新的(包括所有零配件、专用工具等)，表面无划伤，无碰撞，各项技术指标完全符合国家计量检测标准。</w:t>
      </w:r>
    </w:p>
    <w:p>
      <w:pPr>
        <w:keepNext w:val="0"/>
        <w:keepLines w:val="0"/>
        <w:pageBreakBefore w:val="0"/>
        <w:widowControl/>
        <w:kinsoku/>
        <w:wordWrap/>
        <w:overflowPunct/>
        <w:topLinePunct w:val="0"/>
        <w:autoSpaceDE/>
        <w:autoSpaceDN/>
        <w:bidi w:val="0"/>
        <w:adjustRightInd/>
        <w:snapToGrid/>
        <w:spacing w:after="0" w:line="480" w:lineRule="exact"/>
        <w:ind w:firstLine="456"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提供定期对设备校正的服务；供应商提供的货物必须符合中华人民共和国有关环保和安全要求以及检测标准、规范，并通过制造商所在国及中华人民共和国相关认证。</w:t>
      </w:r>
    </w:p>
    <w:p>
      <w:pPr>
        <w:keepNext w:val="0"/>
        <w:keepLines w:val="0"/>
        <w:pageBreakBefore w:val="0"/>
        <w:widowControl/>
        <w:kinsoku/>
        <w:wordWrap/>
        <w:overflowPunct/>
        <w:topLinePunct w:val="0"/>
        <w:autoSpaceDE/>
        <w:autoSpaceDN/>
        <w:bidi w:val="0"/>
        <w:adjustRightInd/>
        <w:snapToGrid/>
        <w:spacing w:after="0" w:line="480" w:lineRule="exact"/>
        <w:ind w:firstLine="456"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eastAsia="zh-CN"/>
        </w:rPr>
        <w:t>.</w:t>
      </w:r>
      <w:r>
        <w:rPr>
          <w:rFonts w:hint="eastAsia" w:ascii="宋体" w:hAnsi="宋体" w:eastAsia="宋体" w:cs="宋体"/>
          <w:color w:val="auto"/>
          <w:sz w:val="24"/>
          <w:szCs w:val="24"/>
          <w:highlight w:val="none"/>
          <w:lang w:val="zh-CN"/>
        </w:rPr>
        <w:t>供应商免费派技术人员到用户现场安装、调试设备、现场操作使用培训，直到使用单位完全掌握为止。设备所有技术参数经检验应符合文件及其投标技术文件的具体指标，并且按合同规定进行验收</w:t>
      </w:r>
      <w:r>
        <w:rPr>
          <w:rFonts w:hint="eastAsia" w:ascii="宋体" w:hAnsi="宋体" w:eastAsia="宋体" w:cs="宋体"/>
          <w:color w:val="auto"/>
          <w:sz w:val="24"/>
          <w:szCs w:val="24"/>
          <w:highlight w:val="none"/>
          <w:lang w:val="zh-CN" w:eastAsia="zh-CN"/>
        </w:rPr>
        <w:t>。</w:t>
      </w:r>
    </w:p>
    <w:p>
      <w:pPr>
        <w:keepNext w:val="0"/>
        <w:keepLines w:val="0"/>
        <w:pageBreakBefore w:val="0"/>
        <w:widowControl/>
        <w:kinsoku/>
        <w:wordWrap/>
        <w:overflowPunct/>
        <w:topLinePunct w:val="0"/>
        <w:autoSpaceDE/>
        <w:autoSpaceDN/>
        <w:bidi w:val="0"/>
        <w:adjustRightInd/>
        <w:snapToGrid/>
        <w:spacing w:after="0" w:line="480" w:lineRule="exact"/>
        <w:ind w:firstLine="456"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rPr>
        <w:t>.供应商须提供所投产品生产厂家服务机构情况，包括地址、联系方式及技术人员数量等。</w:t>
      </w:r>
    </w:p>
    <w:p>
      <w:pPr>
        <w:keepNext w:val="0"/>
        <w:keepLines w:val="0"/>
        <w:pageBreakBefore w:val="0"/>
        <w:widowControl/>
        <w:kinsoku/>
        <w:wordWrap/>
        <w:overflowPunct/>
        <w:topLinePunct w:val="0"/>
        <w:autoSpaceDE/>
        <w:autoSpaceDN/>
        <w:bidi w:val="0"/>
        <w:adjustRightInd/>
        <w:snapToGrid/>
        <w:spacing w:after="0" w:line="480" w:lineRule="exact"/>
        <w:ind w:firstLine="456"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rPr>
        <w:t xml:space="preserve">.交货时要求供应商就所投产品的合法供货渠道进行说明，经核实如供应商提供非法渠道的商品，视为欺诈，为维护采购人合法权益，供应商要承担商品价值双倍的赔偿；同时，依据现行的法律法规依法追究其他责任，并连带追究所投产品生产企业的责任。 </w:t>
      </w:r>
    </w:p>
    <w:p>
      <w:pPr>
        <w:keepNext w:val="0"/>
        <w:keepLines w:val="0"/>
        <w:pageBreakBefore w:val="0"/>
        <w:widowControl/>
        <w:kinsoku/>
        <w:wordWrap/>
        <w:overflowPunct/>
        <w:topLinePunct w:val="0"/>
        <w:autoSpaceDE/>
        <w:autoSpaceDN/>
        <w:bidi w:val="0"/>
        <w:adjustRightInd/>
        <w:snapToGrid/>
        <w:spacing w:after="0" w:line="480" w:lineRule="exact"/>
        <w:ind w:firstLine="456"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zh-CN"/>
        </w:rPr>
        <w:t>.其他服务要求详见项目需求书。</w:t>
      </w:r>
    </w:p>
    <w:p>
      <w:pPr>
        <w:spacing w:after="0" w:line="560" w:lineRule="exact"/>
        <w:ind w:firstLine="455"/>
        <w:rPr>
          <w:rFonts w:ascii="宋体" w:hAnsi="宋体" w:cs="宋体"/>
          <w:color w:val="auto"/>
          <w:sz w:val="24"/>
          <w:szCs w:val="24"/>
          <w:highlight w:val="none"/>
        </w:rPr>
      </w:pPr>
      <w:r>
        <w:rPr>
          <w:rFonts w:hint="eastAsia" w:ascii="宋体" w:hAnsi="宋体" w:cs="宋体"/>
          <w:color w:val="auto"/>
          <w:sz w:val="24"/>
          <w:szCs w:val="24"/>
          <w:highlight w:val="none"/>
        </w:rPr>
        <w:t>（三）时间、地点要求：</w:t>
      </w:r>
    </w:p>
    <w:p>
      <w:pPr>
        <w:spacing w:after="0" w:line="560" w:lineRule="exact"/>
        <w:ind w:left="1593" w:leftChars="218" w:hanging="1140" w:hangingChars="500"/>
        <w:rPr>
          <w:rFonts w:hint="eastAsia" w:ascii="宋体" w:hAnsi="宋体" w:cs="宋体"/>
          <w:color w:val="auto"/>
          <w:sz w:val="24"/>
          <w:szCs w:val="24"/>
          <w:highlight w:val="none"/>
        </w:rPr>
      </w:pPr>
      <w:r>
        <w:rPr>
          <w:rFonts w:hint="eastAsia" w:ascii="宋体" w:hAnsi="宋体" w:cs="宋体"/>
          <w:color w:val="auto"/>
          <w:sz w:val="24"/>
          <w:szCs w:val="24"/>
          <w:highlight w:val="none"/>
        </w:rPr>
        <w:t>1. 交货期：</w:t>
      </w:r>
      <w:r>
        <w:rPr>
          <w:rFonts w:hint="eastAsia" w:ascii="宋体" w:hAnsi="宋体" w:cs="宋体"/>
          <w:color w:val="auto"/>
          <w:sz w:val="24"/>
          <w:szCs w:val="24"/>
          <w:highlight w:val="none"/>
          <w:lang w:val="en-US" w:eastAsia="zh-CN"/>
        </w:rPr>
        <w:t>①</w:t>
      </w:r>
      <w:r>
        <w:rPr>
          <w:rFonts w:hint="eastAsia" w:ascii="宋体" w:hAnsi="宋体" w:cs="宋体"/>
          <w:color w:val="auto"/>
          <w:sz w:val="24"/>
          <w:szCs w:val="24"/>
          <w:highlight w:val="none"/>
        </w:rPr>
        <w:t>国产设备和非免税进口设备：自签订合同之日起15日内到货，5个工作日内完成安装调试。</w:t>
      </w:r>
    </w:p>
    <w:p>
      <w:pPr>
        <w:spacing w:after="0" w:line="560" w:lineRule="exact"/>
        <w:ind w:left="1587" w:leftChars="763" w:firstLine="0" w:firstLineChars="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②</w:t>
      </w:r>
      <w:r>
        <w:rPr>
          <w:rFonts w:hint="eastAsia" w:ascii="宋体" w:hAnsi="宋体" w:cs="宋体"/>
          <w:color w:val="auto"/>
          <w:sz w:val="24"/>
          <w:szCs w:val="24"/>
          <w:highlight w:val="none"/>
        </w:rPr>
        <w:t>免税进口设备：自签订合同之日起90日内到货，5个工作日内完成安装调试。（特殊情况以合同为准）</w:t>
      </w:r>
    </w:p>
    <w:p>
      <w:pPr>
        <w:spacing w:after="0" w:line="560" w:lineRule="exact"/>
        <w:ind w:firstLine="452" w:firstLineChars="198"/>
        <w:rPr>
          <w:rFonts w:hint="eastAsia" w:ascii="宋体" w:hAnsi="宋体" w:cs="宋体"/>
          <w:color w:val="auto"/>
          <w:sz w:val="24"/>
          <w:szCs w:val="24"/>
          <w:highlight w:val="none"/>
        </w:rPr>
      </w:pPr>
      <w:r>
        <w:rPr>
          <w:rFonts w:hint="eastAsia" w:ascii="宋体" w:hAnsi="宋体" w:cs="宋体"/>
          <w:color w:val="auto"/>
          <w:sz w:val="24"/>
          <w:szCs w:val="24"/>
          <w:highlight w:val="none"/>
        </w:rPr>
        <w:t>2. 交货地点：天津中医药大学。</w:t>
      </w:r>
    </w:p>
    <w:p>
      <w:pPr>
        <w:spacing w:after="0" w:line="560" w:lineRule="exact"/>
        <w:ind w:firstLine="452" w:firstLineChars="198"/>
        <w:rPr>
          <w:rFonts w:ascii="宋体" w:hAnsi="宋体" w:cs="宋体"/>
          <w:color w:val="auto"/>
          <w:sz w:val="24"/>
          <w:szCs w:val="24"/>
        </w:rPr>
      </w:pPr>
      <w:r>
        <w:rPr>
          <w:rFonts w:hint="eastAsia" w:ascii="宋体" w:hAnsi="宋体" w:cs="宋体"/>
          <w:color w:val="auto"/>
          <w:sz w:val="24"/>
          <w:szCs w:val="24"/>
        </w:rPr>
        <w:t>3.特别要求：交货时要求</w:t>
      </w:r>
      <w:r>
        <w:rPr>
          <w:rFonts w:hint="eastAsia" w:ascii="宋体" w:hAnsi="宋体" w:cs="宋体"/>
          <w:color w:val="auto"/>
          <w:sz w:val="24"/>
          <w:szCs w:val="24"/>
          <w:lang w:eastAsia="zh-CN"/>
        </w:rPr>
        <w:t>供应商</w:t>
      </w:r>
      <w:r>
        <w:rPr>
          <w:rFonts w:hint="eastAsia" w:ascii="宋体" w:hAnsi="宋体" w:cs="宋体"/>
          <w:color w:val="auto"/>
          <w:sz w:val="24"/>
          <w:szCs w:val="24"/>
        </w:rPr>
        <w:t>就所投产品提供产品说明书，同时采购人有权要求</w:t>
      </w:r>
      <w:r>
        <w:rPr>
          <w:rFonts w:hint="eastAsia" w:ascii="宋体" w:hAnsi="宋体" w:cs="宋体"/>
          <w:color w:val="auto"/>
          <w:sz w:val="24"/>
          <w:szCs w:val="24"/>
          <w:lang w:eastAsia="zh-CN"/>
        </w:rPr>
        <w:t>供应商</w:t>
      </w:r>
      <w:r>
        <w:rPr>
          <w:rFonts w:hint="eastAsia" w:ascii="宋体" w:hAnsi="宋体" w:cs="宋体"/>
          <w:color w:val="auto"/>
          <w:sz w:val="24"/>
          <w:szCs w:val="24"/>
        </w:rPr>
        <w:t>对产品的合法供货渠道进行说明，经核实如</w:t>
      </w:r>
      <w:r>
        <w:rPr>
          <w:rFonts w:hint="eastAsia" w:ascii="宋体" w:hAnsi="宋体" w:cs="宋体"/>
          <w:color w:val="auto"/>
          <w:sz w:val="24"/>
          <w:szCs w:val="24"/>
          <w:lang w:eastAsia="zh-CN"/>
        </w:rPr>
        <w:t>供应商</w:t>
      </w:r>
      <w:r>
        <w:rPr>
          <w:rFonts w:hint="eastAsia" w:ascii="宋体" w:hAnsi="宋体" w:cs="宋体"/>
          <w:color w:val="auto"/>
          <w:sz w:val="24"/>
          <w:szCs w:val="24"/>
        </w:rPr>
        <w:t>提供非法渠道的商品，视为欺诈，为维护采购人合法权益，</w:t>
      </w:r>
      <w:r>
        <w:rPr>
          <w:rFonts w:hint="eastAsia" w:ascii="宋体" w:hAnsi="宋体" w:cs="宋体"/>
          <w:color w:val="auto"/>
          <w:sz w:val="24"/>
          <w:szCs w:val="24"/>
          <w:lang w:eastAsia="zh-CN"/>
        </w:rPr>
        <w:t>供应商</w:t>
      </w:r>
      <w:r>
        <w:rPr>
          <w:rFonts w:hint="eastAsia" w:ascii="宋体" w:hAnsi="宋体" w:cs="宋体"/>
          <w:color w:val="auto"/>
          <w:sz w:val="24"/>
          <w:szCs w:val="24"/>
        </w:rPr>
        <w:t>要承担商品价值双倍的赔偿；同时，依据现行的国家法律法规追究其他责任，并连带追究所投产品制造商的责任。</w:t>
      </w:r>
    </w:p>
    <w:p>
      <w:pPr>
        <w:pStyle w:val="2"/>
        <w:widowControl w:val="0"/>
        <w:spacing w:after="0" w:line="520" w:lineRule="exact"/>
        <w:ind w:firstLine="456" w:firstLineChars="200"/>
        <w:jc w:val="both"/>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en-US" w:eastAsia="zh-CN"/>
        </w:rPr>
        <w:t>4.供应商须整包进行投标，不得拆包分项投标。</w:t>
      </w:r>
    </w:p>
    <w:p>
      <w:pPr>
        <w:pStyle w:val="2"/>
        <w:widowControl w:val="0"/>
        <w:spacing w:after="0" w:line="520" w:lineRule="exact"/>
        <w:ind w:firstLine="456"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5.投标有效期：本项目投标有效期为60天。</w:t>
      </w:r>
    </w:p>
    <w:p>
      <w:pPr>
        <w:spacing w:after="0" w:line="560" w:lineRule="exact"/>
        <w:rPr>
          <w:rFonts w:ascii="宋体" w:hAnsi="宋体" w:cs="宋体"/>
          <w:color w:val="auto"/>
          <w:sz w:val="24"/>
          <w:szCs w:val="24"/>
        </w:rPr>
      </w:pPr>
      <w:r>
        <w:rPr>
          <w:rFonts w:hint="eastAsia" w:ascii="宋体" w:hAnsi="宋体" w:cs="宋体"/>
          <w:color w:val="auto"/>
          <w:sz w:val="24"/>
          <w:szCs w:val="24"/>
        </w:rPr>
        <w:t>（四）付款方式：</w:t>
      </w:r>
    </w:p>
    <w:p>
      <w:pPr>
        <w:spacing w:after="0" w:line="560" w:lineRule="exact"/>
        <w:ind w:firstLine="456"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①国产设备和非免税进口设备：中标供应商供货、安装调试并验收合格后，采购人于30日内支付合同金额的100%。</w:t>
      </w:r>
    </w:p>
    <w:p>
      <w:pPr>
        <w:spacing w:after="0" w:line="560" w:lineRule="exact"/>
        <w:ind w:firstLine="456" w:firstLineChars="200"/>
        <w:rPr>
          <w:rFonts w:ascii="宋体" w:hAnsi="宋体" w:cs="宋体"/>
          <w:color w:val="auto"/>
          <w:sz w:val="24"/>
          <w:szCs w:val="24"/>
        </w:rPr>
      </w:pPr>
      <w:r>
        <w:rPr>
          <w:rFonts w:hint="eastAsia" w:ascii="宋体" w:hAnsi="宋体" w:cs="宋体"/>
          <w:color w:val="auto"/>
          <w:sz w:val="24"/>
          <w:szCs w:val="24"/>
          <w:lang w:val="en-US" w:eastAsia="zh-CN"/>
        </w:rPr>
        <w:t>②免税进口设备：采购人在合同签订后15个工作日内将设备全款汇入外贸代理公司指定银行，由外贸代理公司对外开具100%不可撤销跟单信用证。外贸代理公司见供货商发货单即付90%的货款，余款10%于货到采购人指定地点后，安装、调试并验收合格后15个工作日内由外贸代理公司给付供货商</w:t>
      </w:r>
      <w:r>
        <w:rPr>
          <w:rFonts w:hint="eastAsia" w:ascii="宋体" w:hAnsi="宋体" w:cs="宋体"/>
          <w:color w:val="auto"/>
          <w:sz w:val="24"/>
          <w:szCs w:val="24"/>
        </w:rPr>
        <w:t>。(特殊情况以合同为准）</w:t>
      </w:r>
    </w:p>
    <w:p>
      <w:pPr>
        <w:spacing w:after="0" w:line="560" w:lineRule="exact"/>
        <w:rPr>
          <w:rFonts w:ascii="宋体" w:hAnsi="宋体" w:cs="宋体"/>
          <w:color w:val="auto"/>
          <w:sz w:val="24"/>
          <w:szCs w:val="24"/>
        </w:rPr>
      </w:pPr>
      <w:r>
        <w:rPr>
          <w:rFonts w:hint="eastAsia" w:ascii="宋体" w:hAnsi="宋体" w:cs="宋体"/>
          <w:color w:val="auto"/>
          <w:sz w:val="24"/>
          <w:szCs w:val="24"/>
        </w:rPr>
        <w:t>（五）保证金：</w:t>
      </w:r>
    </w:p>
    <w:p>
      <w:pPr>
        <w:spacing w:after="0" w:line="560" w:lineRule="exact"/>
        <w:ind w:firstLine="680" w:firstLineChars="298"/>
        <w:rPr>
          <w:rFonts w:ascii="宋体" w:hAnsi="宋体" w:cs="宋体"/>
          <w:color w:val="auto"/>
          <w:sz w:val="24"/>
          <w:szCs w:val="24"/>
        </w:rPr>
      </w:pPr>
      <w:r>
        <w:rPr>
          <w:rFonts w:hint="eastAsia" w:ascii="宋体" w:hAnsi="宋体" w:cs="宋体"/>
          <w:color w:val="auto"/>
          <w:sz w:val="24"/>
          <w:szCs w:val="24"/>
        </w:rPr>
        <w:t>1、投标保证金：</w:t>
      </w:r>
    </w:p>
    <w:p>
      <w:pPr>
        <w:spacing w:after="0" w:line="560" w:lineRule="exact"/>
        <w:ind w:firstLine="228" w:firstLineChars="100"/>
        <w:rPr>
          <w:rFonts w:hint="eastAsia" w:ascii="宋体" w:hAnsi="宋体" w:cs="宋体"/>
          <w:color w:val="auto"/>
          <w:sz w:val="24"/>
          <w:szCs w:val="24"/>
        </w:rPr>
      </w:pPr>
      <w:r>
        <w:rPr>
          <w:rFonts w:hint="eastAsia" w:ascii="宋体" w:hAnsi="宋体" w:cs="宋体"/>
          <w:color w:val="auto"/>
          <w:sz w:val="24"/>
          <w:szCs w:val="24"/>
        </w:rPr>
        <w:t>（1）本项目收取投标保证金，金</w:t>
      </w:r>
      <w:r>
        <w:rPr>
          <w:rFonts w:hint="eastAsia" w:ascii="宋体" w:hAnsi="宋体" w:cs="宋体"/>
          <w:color w:val="auto"/>
          <w:sz w:val="24"/>
          <w:szCs w:val="24"/>
          <w:lang w:val="en-US" w:eastAsia="zh-CN"/>
        </w:rPr>
        <w:t>额</w:t>
      </w:r>
      <w:r>
        <w:rPr>
          <w:rFonts w:hint="eastAsia" w:ascii="宋体" w:hAnsi="宋体" w:cs="宋体"/>
          <w:color w:val="auto"/>
          <w:sz w:val="24"/>
          <w:szCs w:val="24"/>
        </w:rPr>
        <w:t>为</w:t>
      </w:r>
      <w:r>
        <w:rPr>
          <w:rFonts w:hint="eastAsia" w:ascii="宋体" w:hAnsi="宋体" w:cs="宋体"/>
          <w:color w:val="auto"/>
          <w:sz w:val="24"/>
          <w:szCs w:val="24"/>
          <w:lang w:val="en-US" w:eastAsia="zh-CN"/>
        </w:rPr>
        <w:t>5</w:t>
      </w:r>
      <w:r>
        <w:rPr>
          <w:rFonts w:hint="eastAsia" w:ascii="宋体" w:hAnsi="宋体" w:cs="宋体"/>
          <w:color w:val="auto"/>
          <w:sz w:val="24"/>
          <w:szCs w:val="24"/>
        </w:rPr>
        <w:t>0000元。投标保证金缴纳并到账时间，截至</w:t>
      </w:r>
      <w:r>
        <w:rPr>
          <w:rFonts w:hint="eastAsia" w:ascii="宋体" w:hAnsi="宋体" w:cs="宋体"/>
          <w:color w:val="auto"/>
          <w:sz w:val="24"/>
          <w:szCs w:val="24"/>
          <w:lang w:val="en-US" w:eastAsia="zh-CN"/>
        </w:rPr>
        <w:t>投标</w:t>
      </w:r>
      <w:r>
        <w:rPr>
          <w:rFonts w:hint="eastAsia" w:ascii="宋体" w:hAnsi="宋体" w:cs="宋体"/>
          <w:color w:val="auto"/>
          <w:sz w:val="24"/>
          <w:szCs w:val="24"/>
        </w:rPr>
        <w:t>文件提交的截止时间。收到保证金时间以保证金到账时间为准，</w:t>
      </w:r>
      <w:r>
        <w:rPr>
          <w:rFonts w:hint="eastAsia" w:ascii="宋体" w:hAnsi="宋体" w:cs="宋体"/>
          <w:color w:val="auto"/>
          <w:sz w:val="24"/>
          <w:szCs w:val="24"/>
          <w:lang w:eastAsia="zh-CN"/>
        </w:rPr>
        <w:t>供应商</w:t>
      </w:r>
      <w:r>
        <w:rPr>
          <w:rFonts w:hint="eastAsia" w:ascii="宋体" w:hAnsi="宋体" w:cs="宋体"/>
          <w:color w:val="auto"/>
          <w:sz w:val="24"/>
          <w:szCs w:val="24"/>
        </w:rPr>
        <w:t>未按照采购文件要求提交投标保证金的或在规定时间前保证金未到账的，不具备投标资格。</w:t>
      </w:r>
    </w:p>
    <w:p>
      <w:pPr>
        <w:spacing w:after="0" w:line="560" w:lineRule="exact"/>
        <w:ind w:firstLine="228" w:firstLineChars="100"/>
        <w:rPr>
          <w:rFonts w:ascii="宋体" w:hAnsi="宋体" w:cs="宋体"/>
          <w:color w:val="auto"/>
          <w:sz w:val="24"/>
          <w:szCs w:val="24"/>
        </w:rPr>
      </w:pPr>
      <w:r>
        <w:rPr>
          <w:rFonts w:hint="eastAsia" w:ascii="宋体" w:hAnsi="宋体" w:cs="宋体"/>
          <w:color w:val="auto"/>
          <w:sz w:val="24"/>
          <w:szCs w:val="24"/>
        </w:rPr>
        <w:t>（2）投标保证金以支票、电汇等非现金形式提交。</w:t>
      </w:r>
      <w:r>
        <w:rPr>
          <w:rFonts w:hint="eastAsia" w:ascii="宋体" w:hAnsi="宋体" w:cs="宋体"/>
          <w:color w:val="auto"/>
          <w:sz w:val="24"/>
          <w:szCs w:val="24"/>
          <w:lang w:eastAsia="zh-CN"/>
        </w:rPr>
        <w:t>供应商</w:t>
      </w:r>
      <w:r>
        <w:rPr>
          <w:rFonts w:hint="eastAsia" w:ascii="宋体" w:hAnsi="宋体" w:cs="宋体"/>
          <w:color w:val="auto"/>
          <w:sz w:val="24"/>
          <w:szCs w:val="24"/>
        </w:rPr>
        <w:t>未按要求提交投标保证金的，投标无效。</w:t>
      </w:r>
    </w:p>
    <w:p>
      <w:pPr>
        <w:spacing w:after="0" w:line="560" w:lineRule="exact"/>
        <w:ind w:firstLine="228" w:firstLineChars="100"/>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eastAsia="zh-CN"/>
        </w:rPr>
        <w:t>供应商</w:t>
      </w:r>
      <w:r>
        <w:rPr>
          <w:rFonts w:hint="eastAsia" w:ascii="宋体" w:hAnsi="宋体" w:cs="宋体"/>
          <w:color w:val="auto"/>
          <w:sz w:val="24"/>
          <w:szCs w:val="24"/>
        </w:rPr>
        <w:t>须携带加盖公章的汇款凭证复印件，于截至</w:t>
      </w:r>
      <w:r>
        <w:rPr>
          <w:rFonts w:hint="eastAsia" w:ascii="宋体" w:hAnsi="宋体" w:cs="宋体"/>
          <w:color w:val="auto"/>
          <w:sz w:val="24"/>
          <w:szCs w:val="24"/>
          <w:lang w:val="en-US" w:eastAsia="zh-CN"/>
        </w:rPr>
        <w:t>投标</w:t>
      </w:r>
      <w:r>
        <w:rPr>
          <w:rFonts w:hint="eastAsia" w:ascii="宋体" w:hAnsi="宋体" w:cs="宋体"/>
          <w:color w:val="auto"/>
          <w:sz w:val="24"/>
          <w:szCs w:val="24"/>
        </w:rPr>
        <w:t>文件提交前到招标代理机构领取保证金收据。未按时领取的，由此产生的一切后果，由</w:t>
      </w:r>
      <w:r>
        <w:rPr>
          <w:rFonts w:hint="eastAsia" w:ascii="宋体" w:hAnsi="宋体" w:cs="宋体"/>
          <w:color w:val="auto"/>
          <w:sz w:val="24"/>
          <w:szCs w:val="24"/>
          <w:lang w:eastAsia="zh-CN"/>
        </w:rPr>
        <w:t>供应商</w:t>
      </w:r>
      <w:r>
        <w:rPr>
          <w:rFonts w:hint="eastAsia" w:ascii="宋体" w:hAnsi="宋体" w:cs="宋体"/>
          <w:color w:val="auto"/>
          <w:sz w:val="24"/>
          <w:szCs w:val="24"/>
        </w:rPr>
        <w:t xml:space="preserve">自行承担。 </w:t>
      </w:r>
    </w:p>
    <w:p>
      <w:pPr>
        <w:spacing w:after="0" w:line="560" w:lineRule="exact"/>
        <w:ind w:firstLine="228" w:firstLineChars="100"/>
        <w:rPr>
          <w:rFonts w:ascii="宋体" w:hAnsi="宋体" w:cs="宋体"/>
          <w:color w:val="auto"/>
          <w:sz w:val="24"/>
          <w:szCs w:val="24"/>
        </w:rPr>
      </w:pPr>
      <w:r>
        <w:rPr>
          <w:rFonts w:hint="eastAsia" w:ascii="宋体" w:hAnsi="宋体" w:cs="宋体"/>
          <w:color w:val="auto"/>
          <w:sz w:val="24"/>
          <w:szCs w:val="24"/>
        </w:rPr>
        <w:t>（4）提交投标保证金时请注明项目编号。</w:t>
      </w:r>
    </w:p>
    <w:p>
      <w:pPr>
        <w:keepNext w:val="0"/>
        <w:keepLines w:val="0"/>
        <w:pageBreakBefore w:val="0"/>
        <w:kinsoku/>
        <w:wordWrap/>
        <w:overflowPunct/>
        <w:topLinePunct w:val="0"/>
        <w:bidi w:val="0"/>
        <w:snapToGrid/>
        <w:spacing w:after="0" w:line="520" w:lineRule="exact"/>
        <w:ind w:firstLine="456" w:firstLineChars="200"/>
        <w:textAlignment w:val="auto"/>
        <w:rPr>
          <w:rFonts w:ascii="宋体" w:hAnsi="宋体" w:cs="宋体"/>
          <w:color w:val="auto"/>
          <w:sz w:val="24"/>
          <w:szCs w:val="24"/>
        </w:rPr>
      </w:pPr>
      <w:r>
        <w:rPr>
          <w:rFonts w:hint="eastAsia" w:ascii="宋体" w:hAnsi="宋体" w:eastAsia="宋体" w:cs="宋体"/>
          <w:color w:val="auto"/>
          <w:sz w:val="24"/>
          <w:szCs w:val="24"/>
        </w:rPr>
        <w:t>2、保证金的退还：</w:t>
      </w:r>
      <w:r>
        <w:rPr>
          <w:rFonts w:hint="eastAsia" w:ascii="宋体" w:hAnsi="宋体" w:cs="宋体"/>
          <w:color w:val="auto"/>
          <w:sz w:val="24"/>
          <w:szCs w:val="24"/>
        </w:rPr>
        <w:t>（开标当天须携带投标单位开具的加盖财务章的往来收据原件及开户行信息）天津市政府采购网发布中标公告后，未中标供应商在五个工作日内退还投标保证金。中标供应商在合同签订后持与采购人签订的合同原件（采购代理机构留存），在五个工作日内退还投标保证金。</w:t>
      </w:r>
    </w:p>
    <w:p>
      <w:pPr>
        <w:spacing w:after="0" w:line="560" w:lineRule="exact"/>
        <w:ind w:firstLine="456" w:firstLineChars="200"/>
        <w:rPr>
          <w:rFonts w:ascii="宋体" w:hAnsi="宋体" w:cs="宋体"/>
          <w:color w:val="auto"/>
          <w:sz w:val="24"/>
          <w:szCs w:val="24"/>
        </w:rPr>
      </w:pPr>
      <w:r>
        <w:rPr>
          <w:rFonts w:hint="eastAsia" w:ascii="宋体" w:hAnsi="宋体" w:cs="宋体"/>
          <w:color w:val="auto"/>
          <w:sz w:val="24"/>
          <w:szCs w:val="24"/>
        </w:rPr>
        <w:t>3、投标保证金不予退还的情形：</w:t>
      </w:r>
    </w:p>
    <w:p>
      <w:pPr>
        <w:spacing w:after="0" w:line="560" w:lineRule="exact"/>
        <w:ind w:firstLine="456" w:firstLineChars="200"/>
        <w:rPr>
          <w:rFonts w:hint="eastAsia" w:ascii="宋体" w:hAnsi="宋体" w:eastAsia="宋体" w:cs="宋体"/>
          <w:color w:val="auto"/>
          <w:kern w:val="2"/>
          <w:sz w:val="24"/>
          <w:szCs w:val="24"/>
        </w:rPr>
      </w:pPr>
      <w:r>
        <w:rPr>
          <w:rFonts w:hint="eastAsia" w:ascii="宋体" w:hAnsi="宋体" w:eastAsia="宋体" w:cs="宋体"/>
          <w:color w:val="auto"/>
          <w:sz w:val="24"/>
          <w:szCs w:val="24"/>
        </w:rPr>
        <w:t>（1）供应商在提交</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文件截止时间后撤回</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文件的；（2）供应商在</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文件中提供虚假材料的；（3）除因不可抗力或招标文件认可的情形以外，中标供应商不与采购人签订合同的；（4）供应商与采购人、其他供应商或者采购代理机构恶意串通的；（5）未按照招标文件要求提交履约担保的；</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lang w:val="en-US" w:eastAsia="zh-CN"/>
        </w:rPr>
        <w:t>6</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lang w:val="en-US" w:eastAsia="zh-CN"/>
        </w:rPr>
        <w:t>中标供应商</w:t>
      </w:r>
      <w:r>
        <w:rPr>
          <w:rFonts w:hint="eastAsia" w:ascii="宋体" w:hAnsi="宋体" w:eastAsia="宋体" w:cs="宋体"/>
          <w:color w:val="auto"/>
          <w:kern w:val="2"/>
          <w:sz w:val="24"/>
          <w:szCs w:val="24"/>
          <w:lang w:eastAsia="zh-CN"/>
        </w:rPr>
        <w:t>未按照</w:t>
      </w:r>
      <w:r>
        <w:rPr>
          <w:rFonts w:hint="eastAsia" w:ascii="宋体" w:hAnsi="宋体" w:eastAsia="宋体" w:cs="宋体"/>
          <w:color w:val="auto"/>
          <w:kern w:val="2"/>
          <w:sz w:val="24"/>
          <w:szCs w:val="24"/>
          <w:lang w:val="en-US" w:eastAsia="zh-CN"/>
        </w:rPr>
        <w:t>招标</w:t>
      </w:r>
      <w:r>
        <w:rPr>
          <w:rFonts w:hint="eastAsia" w:ascii="宋体" w:hAnsi="宋体" w:eastAsia="宋体" w:cs="宋体"/>
          <w:color w:val="auto"/>
          <w:kern w:val="2"/>
          <w:sz w:val="24"/>
          <w:szCs w:val="24"/>
          <w:lang w:eastAsia="zh-CN"/>
        </w:rPr>
        <w:t>文件规定向采购代理机构支付服务费的。</w:t>
      </w: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7</w:t>
      </w:r>
      <w:r>
        <w:rPr>
          <w:rFonts w:hint="eastAsia" w:ascii="宋体" w:hAnsi="宋体" w:eastAsia="宋体" w:cs="宋体"/>
          <w:color w:val="auto"/>
          <w:kern w:val="2"/>
          <w:sz w:val="24"/>
          <w:szCs w:val="24"/>
        </w:rPr>
        <w:t>）采购文件、法律法规规定的其他情形。</w:t>
      </w:r>
    </w:p>
    <w:p>
      <w:pPr>
        <w:spacing w:after="0" w:line="560" w:lineRule="exact"/>
        <w:ind w:firstLine="456" w:firstLineChars="200"/>
        <w:rPr>
          <w:rFonts w:ascii="宋体" w:hAnsi="宋体" w:cs="宋体"/>
          <w:color w:val="auto"/>
          <w:sz w:val="24"/>
          <w:szCs w:val="24"/>
        </w:rPr>
      </w:pPr>
      <w:r>
        <w:rPr>
          <w:rFonts w:hint="eastAsia" w:ascii="宋体" w:hAnsi="宋体" w:cs="宋体"/>
          <w:color w:val="auto"/>
          <w:sz w:val="24"/>
          <w:szCs w:val="24"/>
        </w:rPr>
        <w:t>4、履约保证金：本项目</w:t>
      </w:r>
      <w:r>
        <w:rPr>
          <w:rFonts w:hint="eastAsia" w:ascii="宋体" w:hAnsi="宋体" w:cs="宋体"/>
          <w:color w:val="auto"/>
          <w:sz w:val="24"/>
          <w:szCs w:val="24"/>
          <w:lang w:val="en-US" w:eastAsia="zh-CN"/>
        </w:rPr>
        <w:t>不</w:t>
      </w:r>
      <w:r>
        <w:rPr>
          <w:rFonts w:hint="eastAsia" w:ascii="宋体" w:hAnsi="宋体" w:cs="宋体"/>
          <w:color w:val="auto"/>
          <w:sz w:val="24"/>
          <w:szCs w:val="24"/>
        </w:rPr>
        <w:t>收</w:t>
      </w:r>
      <w:r>
        <w:rPr>
          <w:rFonts w:hint="eastAsia" w:ascii="宋体" w:hAnsi="宋体" w:cs="宋体"/>
          <w:color w:val="auto"/>
          <w:sz w:val="24"/>
          <w:szCs w:val="24"/>
          <w:lang w:val="en-US" w:eastAsia="zh-CN"/>
        </w:rPr>
        <w:t>取</w:t>
      </w:r>
      <w:r>
        <w:rPr>
          <w:rFonts w:hint="eastAsia" w:ascii="宋体" w:hAnsi="宋体" w:cs="宋体"/>
          <w:color w:val="auto"/>
          <w:sz w:val="24"/>
          <w:szCs w:val="24"/>
        </w:rPr>
        <w:t>履约保证金。</w:t>
      </w:r>
    </w:p>
    <w:p>
      <w:pPr>
        <w:spacing w:after="0" w:line="560" w:lineRule="exact"/>
        <w:rPr>
          <w:rFonts w:ascii="宋体" w:hAnsi="宋体" w:cs="宋体"/>
          <w:color w:val="auto"/>
          <w:sz w:val="24"/>
          <w:szCs w:val="24"/>
        </w:rPr>
      </w:pPr>
      <w:r>
        <w:rPr>
          <w:rFonts w:hint="eastAsia" w:ascii="宋体" w:hAnsi="宋体" w:cs="宋体"/>
          <w:color w:val="auto"/>
          <w:sz w:val="24"/>
          <w:szCs w:val="24"/>
        </w:rPr>
        <w:t>（六）验收方法及标准：</w:t>
      </w:r>
    </w:p>
    <w:p>
      <w:pPr>
        <w:spacing w:after="0" w:line="560" w:lineRule="exact"/>
        <w:ind w:firstLine="335" w:firstLineChars="147"/>
        <w:rPr>
          <w:rFonts w:ascii="宋体" w:hAnsi="宋体" w:cs="宋体"/>
          <w:color w:val="auto"/>
          <w:sz w:val="24"/>
          <w:szCs w:val="24"/>
        </w:rPr>
      </w:pPr>
      <w:r>
        <w:rPr>
          <w:rFonts w:hint="eastAsia" w:ascii="宋体" w:hAnsi="宋体" w:cs="宋体"/>
          <w:color w:val="auto"/>
          <w:sz w:val="24"/>
          <w:szCs w:val="24"/>
        </w:rPr>
        <w:t>按照采购合同的约定和现行国家标准、行业标准以及企业标准对每一项技术、服务、安全标准的履约情况进行确认。采购人有权根据需要设置出厂检验、到货检验、安装调试检验、配套服务检验等多重验收环节。必要时，采购人有权邀请参加本项目的其他</w:t>
      </w:r>
      <w:r>
        <w:rPr>
          <w:rFonts w:hint="eastAsia" w:ascii="宋体" w:hAnsi="宋体" w:cs="宋体"/>
          <w:color w:val="auto"/>
          <w:sz w:val="24"/>
          <w:szCs w:val="24"/>
          <w:lang w:eastAsia="zh-CN"/>
        </w:rPr>
        <w:t>供应商</w:t>
      </w:r>
      <w:r>
        <w:rPr>
          <w:rFonts w:hint="eastAsia" w:ascii="宋体" w:hAnsi="宋体" w:cs="宋体"/>
          <w:color w:val="auto"/>
          <w:sz w:val="24"/>
          <w:szCs w:val="24"/>
        </w:rPr>
        <w:t>或者第三方机构参与验收。参与验收的</w:t>
      </w:r>
      <w:r>
        <w:rPr>
          <w:rFonts w:hint="eastAsia" w:ascii="宋体" w:hAnsi="宋体" w:cs="宋体"/>
          <w:color w:val="auto"/>
          <w:sz w:val="24"/>
          <w:szCs w:val="24"/>
          <w:lang w:eastAsia="zh-CN"/>
        </w:rPr>
        <w:t>供应商</w:t>
      </w:r>
      <w:r>
        <w:rPr>
          <w:rFonts w:hint="eastAsia" w:ascii="宋体" w:hAnsi="宋体" w:cs="宋体"/>
          <w:color w:val="auto"/>
          <w:sz w:val="24"/>
          <w:szCs w:val="24"/>
        </w:rPr>
        <w:t>或者第三方机构的意见作为验收书的参考资料一并存档。验收结束后，应当出具验收书，列明各项标准的验收情况及项目总体评价，由验收双方共同签署。</w:t>
      </w:r>
    </w:p>
    <w:p>
      <w:pPr>
        <w:spacing w:after="0" w:line="560" w:lineRule="exact"/>
        <w:rPr>
          <w:rFonts w:ascii="宋体" w:hAnsi="宋体" w:cs="宋体"/>
          <w:color w:val="auto"/>
          <w:sz w:val="24"/>
          <w:szCs w:val="24"/>
        </w:rPr>
      </w:pPr>
      <w:r>
        <w:rPr>
          <w:rFonts w:hint="eastAsia" w:ascii="宋体" w:hAnsi="宋体" w:cs="宋体"/>
          <w:color w:val="auto"/>
          <w:sz w:val="24"/>
          <w:szCs w:val="24"/>
        </w:rPr>
        <w:t>（七）本项目收取费用</w:t>
      </w:r>
    </w:p>
    <w:p>
      <w:pPr>
        <w:spacing w:after="0" w:line="560" w:lineRule="exact"/>
        <w:ind w:firstLine="335" w:firstLineChars="147"/>
        <w:rPr>
          <w:rFonts w:ascii="宋体" w:hAnsi="宋体" w:cs="宋体"/>
          <w:color w:val="auto"/>
          <w:sz w:val="24"/>
          <w:szCs w:val="24"/>
        </w:rPr>
      </w:pPr>
      <w:r>
        <w:rPr>
          <w:rFonts w:hint="eastAsia" w:ascii="宋体" w:hAnsi="宋体" w:cs="宋体"/>
          <w:color w:val="auto"/>
          <w:sz w:val="24"/>
          <w:szCs w:val="24"/>
        </w:rPr>
        <w:t>1、招标代理服务费：根据《国家计委关于印发&lt;招标代理服务收费管理暂行办法&gt;的通知（计价格[2002]1980号）》和《国家发展改革委办公厅关于招标代理服务收费有关问题的通知（发改办价格[2003]857号）》的文件规定，本次项目向中标供应商收取服务费，收费标准如下：</w:t>
      </w:r>
    </w:p>
    <w:tbl>
      <w:tblPr>
        <w:tblStyle w:val="30"/>
        <w:tblW w:w="8520" w:type="dxa"/>
        <w:tblInd w:w="93" w:type="dxa"/>
        <w:tblLayout w:type="fixed"/>
        <w:tblCellMar>
          <w:top w:w="0" w:type="dxa"/>
          <w:left w:w="108" w:type="dxa"/>
          <w:bottom w:w="0" w:type="dxa"/>
          <w:right w:w="108" w:type="dxa"/>
        </w:tblCellMar>
      </w:tblPr>
      <w:tblGrid>
        <w:gridCol w:w="2283"/>
        <w:gridCol w:w="1843"/>
        <w:gridCol w:w="2410"/>
        <w:gridCol w:w="1984"/>
      </w:tblGrid>
      <w:tr>
        <w:tblPrEx>
          <w:tblCellMar>
            <w:top w:w="0" w:type="dxa"/>
            <w:left w:w="108" w:type="dxa"/>
            <w:bottom w:w="0" w:type="dxa"/>
            <w:right w:w="108" w:type="dxa"/>
          </w:tblCellMar>
        </w:tblPrEx>
        <w:trPr>
          <w:trHeight w:val="402" w:hRule="atLeast"/>
        </w:trPr>
        <w:tc>
          <w:tcPr>
            <w:tcW w:w="2283" w:type="dxa"/>
            <w:tcBorders>
              <w:top w:val="single" w:color="auto" w:sz="4" w:space="0"/>
              <w:left w:val="single" w:color="auto" w:sz="4" w:space="0"/>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中标金额</w:t>
            </w:r>
          </w:p>
        </w:tc>
        <w:tc>
          <w:tcPr>
            <w:tcW w:w="1843" w:type="dxa"/>
            <w:tcBorders>
              <w:top w:val="single" w:color="auto" w:sz="4" w:space="0"/>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货物招标</w:t>
            </w:r>
          </w:p>
        </w:tc>
        <w:tc>
          <w:tcPr>
            <w:tcW w:w="2410" w:type="dxa"/>
            <w:tcBorders>
              <w:top w:val="single" w:color="auto" w:sz="4" w:space="0"/>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服务招标</w:t>
            </w:r>
          </w:p>
        </w:tc>
        <w:tc>
          <w:tcPr>
            <w:tcW w:w="1984" w:type="dxa"/>
            <w:tcBorders>
              <w:top w:val="single" w:color="auto" w:sz="4" w:space="0"/>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工程招标</w:t>
            </w:r>
          </w:p>
        </w:tc>
      </w:tr>
      <w:tr>
        <w:tblPrEx>
          <w:tblCellMar>
            <w:top w:w="0" w:type="dxa"/>
            <w:left w:w="108" w:type="dxa"/>
            <w:bottom w:w="0" w:type="dxa"/>
            <w:right w:w="108" w:type="dxa"/>
          </w:tblCellMar>
        </w:tblPrEx>
        <w:trPr>
          <w:trHeight w:val="402" w:hRule="atLeast"/>
        </w:trPr>
        <w:tc>
          <w:tcPr>
            <w:tcW w:w="2283" w:type="dxa"/>
            <w:tcBorders>
              <w:top w:val="nil"/>
              <w:left w:val="single" w:color="auto" w:sz="4" w:space="0"/>
              <w:bottom w:val="single" w:color="auto" w:sz="4" w:space="0"/>
              <w:right w:val="single" w:color="auto" w:sz="4" w:space="0"/>
            </w:tcBorders>
            <w:noWrap/>
            <w:vAlign w:val="center"/>
          </w:tcPr>
          <w:p>
            <w:pPr>
              <w:spacing w:after="0" w:line="460" w:lineRule="exact"/>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100</w:t>
            </w:r>
            <w:r>
              <w:rPr>
                <w:rFonts w:hint="eastAsia" w:ascii="宋体" w:hAnsi="宋体" w:cs="宋体"/>
                <w:color w:val="auto"/>
                <w:sz w:val="24"/>
                <w:szCs w:val="24"/>
                <w:lang w:val="en-US" w:eastAsia="zh-CN"/>
              </w:rPr>
              <w:t>万元</w:t>
            </w:r>
          </w:p>
        </w:tc>
        <w:tc>
          <w:tcPr>
            <w:tcW w:w="1843" w:type="dxa"/>
            <w:tcBorders>
              <w:top w:val="nil"/>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1.5%</w:t>
            </w:r>
          </w:p>
        </w:tc>
        <w:tc>
          <w:tcPr>
            <w:tcW w:w="2410" w:type="dxa"/>
            <w:tcBorders>
              <w:top w:val="nil"/>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1.5%</w:t>
            </w:r>
          </w:p>
        </w:tc>
        <w:tc>
          <w:tcPr>
            <w:tcW w:w="1984" w:type="dxa"/>
            <w:tcBorders>
              <w:top w:val="nil"/>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1.0%</w:t>
            </w:r>
          </w:p>
        </w:tc>
      </w:tr>
      <w:tr>
        <w:tblPrEx>
          <w:tblCellMar>
            <w:top w:w="0" w:type="dxa"/>
            <w:left w:w="108" w:type="dxa"/>
            <w:bottom w:w="0" w:type="dxa"/>
            <w:right w:w="108" w:type="dxa"/>
          </w:tblCellMar>
        </w:tblPrEx>
        <w:trPr>
          <w:trHeight w:val="402" w:hRule="atLeast"/>
        </w:trPr>
        <w:tc>
          <w:tcPr>
            <w:tcW w:w="2283" w:type="dxa"/>
            <w:tcBorders>
              <w:top w:val="nil"/>
              <w:left w:val="single" w:color="auto" w:sz="4" w:space="0"/>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100-500万元</w:t>
            </w:r>
          </w:p>
        </w:tc>
        <w:tc>
          <w:tcPr>
            <w:tcW w:w="1843" w:type="dxa"/>
            <w:tcBorders>
              <w:top w:val="nil"/>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1.1%</w:t>
            </w:r>
          </w:p>
        </w:tc>
        <w:tc>
          <w:tcPr>
            <w:tcW w:w="2410" w:type="dxa"/>
            <w:tcBorders>
              <w:top w:val="nil"/>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0.8%</w:t>
            </w:r>
          </w:p>
        </w:tc>
        <w:tc>
          <w:tcPr>
            <w:tcW w:w="1984" w:type="dxa"/>
            <w:tcBorders>
              <w:top w:val="nil"/>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0.7%</w:t>
            </w:r>
          </w:p>
        </w:tc>
      </w:tr>
      <w:tr>
        <w:tblPrEx>
          <w:tblCellMar>
            <w:top w:w="0" w:type="dxa"/>
            <w:left w:w="108" w:type="dxa"/>
            <w:bottom w:w="0" w:type="dxa"/>
            <w:right w:w="108" w:type="dxa"/>
          </w:tblCellMar>
        </w:tblPrEx>
        <w:trPr>
          <w:trHeight w:val="402" w:hRule="atLeast"/>
        </w:trPr>
        <w:tc>
          <w:tcPr>
            <w:tcW w:w="2283" w:type="dxa"/>
            <w:tcBorders>
              <w:top w:val="nil"/>
              <w:left w:val="single" w:color="auto" w:sz="4" w:space="0"/>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500-1000万元</w:t>
            </w:r>
          </w:p>
        </w:tc>
        <w:tc>
          <w:tcPr>
            <w:tcW w:w="1843" w:type="dxa"/>
            <w:tcBorders>
              <w:top w:val="nil"/>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0.8%</w:t>
            </w:r>
          </w:p>
        </w:tc>
        <w:tc>
          <w:tcPr>
            <w:tcW w:w="2410" w:type="dxa"/>
            <w:tcBorders>
              <w:top w:val="nil"/>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0.45%</w:t>
            </w:r>
          </w:p>
        </w:tc>
        <w:tc>
          <w:tcPr>
            <w:tcW w:w="1984" w:type="dxa"/>
            <w:tcBorders>
              <w:top w:val="nil"/>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0.55%</w:t>
            </w:r>
          </w:p>
        </w:tc>
      </w:tr>
      <w:tr>
        <w:tblPrEx>
          <w:tblCellMar>
            <w:top w:w="0" w:type="dxa"/>
            <w:left w:w="108" w:type="dxa"/>
            <w:bottom w:w="0" w:type="dxa"/>
            <w:right w:w="108" w:type="dxa"/>
          </w:tblCellMar>
        </w:tblPrEx>
        <w:trPr>
          <w:trHeight w:val="402" w:hRule="atLeast"/>
        </w:trPr>
        <w:tc>
          <w:tcPr>
            <w:tcW w:w="2283" w:type="dxa"/>
            <w:tcBorders>
              <w:top w:val="nil"/>
              <w:left w:val="single" w:color="auto" w:sz="4" w:space="0"/>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1000-5000万元</w:t>
            </w:r>
          </w:p>
        </w:tc>
        <w:tc>
          <w:tcPr>
            <w:tcW w:w="1843" w:type="dxa"/>
            <w:tcBorders>
              <w:top w:val="nil"/>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0.5%</w:t>
            </w:r>
          </w:p>
        </w:tc>
        <w:tc>
          <w:tcPr>
            <w:tcW w:w="2410" w:type="dxa"/>
            <w:tcBorders>
              <w:top w:val="nil"/>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0.25%</w:t>
            </w:r>
          </w:p>
        </w:tc>
        <w:tc>
          <w:tcPr>
            <w:tcW w:w="1984" w:type="dxa"/>
            <w:tcBorders>
              <w:top w:val="nil"/>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0.35%</w:t>
            </w:r>
          </w:p>
        </w:tc>
      </w:tr>
      <w:tr>
        <w:tblPrEx>
          <w:tblCellMar>
            <w:top w:w="0" w:type="dxa"/>
            <w:left w:w="108" w:type="dxa"/>
            <w:bottom w:w="0" w:type="dxa"/>
            <w:right w:w="108" w:type="dxa"/>
          </w:tblCellMar>
        </w:tblPrEx>
        <w:trPr>
          <w:trHeight w:val="402" w:hRule="atLeast"/>
        </w:trPr>
        <w:tc>
          <w:tcPr>
            <w:tcW w:w="2283" w:type="dxa"/>
            <w:tcBorders>
              <w:top w:val="nil"/>
              <w:left w:val="single" w:color="auto" w:sz="4" w:space="0"/>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5000万-1亿元</w:t>
            </w:r>
          </w:p>
        </w:tc>
        <w:tc>
          <w:tcPr>
            <w:tcW w:w="1843" w:type="dxa"/>
            <w:tcBorders>
              <w:top w:val="nil"/>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0.25%</w:t>
            </w:r>
          </w:p>
        </w:tc>
        <w:tc>
          <w:tcPr>
            <w:tcW w:w="2410" w:type="dxa"/>
            <w:tcBorders>
              <w:top w:val="nil"/>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0.1%</w:t>
            </w:r>
          </w:p>
        </w:tc>
        <w:tc>
          <w:tcPr>
            <w:tcW w:w="1984" w:type="dxa"/>
            <w:tcBorders>
              <w:top w:val="nil"/>
              <w:left w:val="nil"/>
              <w:bottom w:val="single" w:color="auto" w:sz="4" w:space="0"/>
              <w:right w:val="single" w:color="auto" w:sz="4" w:space="0"/>
            </w:tcBorders>
            <w:noWrap/>
            <w:vAlign w:val="center"/>
          </w:tcPr>
          <w:p>
            <w:pPr>
              <w:spacing w:after="0" w:line="460" w:lineRule="exact"/>
              <w:jc w:val="center"/>
              <w:rPr>
                <w:rFonts w:ascii="宋体" w:hAnsi="宋体" w:cs="宋体"/>
                <w:color w:val="auto"/>
                <w:sz w:val="24"/>
                <w:szCs w:val="24"/>
              </w:rPr>
            </w:pPr>
            <w:r>
              <w:rPr>
                <w:rFonts w:hint="eastAsia" w:ascii="宋体" w:hAnsi="宋体" w:cs="宋体"/>
                <w:color w:val="auto"/>
                <w:sz w:val="24"/>
                <w:szCs w:val="24"/>
              </w:rPr>
              <w:t>0.2%</w:t>
            </w:r>
          </w:p>
        </w:tc>
      </w:tr>
    </w:tbl>
    <w:p>
      <w:pPr>
        <w:keepNext w:val="0"/>
        <w:keepLines w:val="0"/>
        <w:pageBreakBefore w:val="0"/>
        <w:widowControl/>
        <w:tabs>
          <w:tab w:val="left" w:pos="700"/>
        </w:tabs>
        <w:kinsoku/>
        <w:wordWrap/>
        <w:overflowPunct/>
        <w:topLinePunct w:val="0"/>
        <w:autoSpaceDE w:val="0"/>
        <w:autoSpaceDN w:val="0"/>
        <w:bidi w:val="0"/>
        <w:adjustRightInd w:val="0"/>
        <w:snapToGrid/>
        <w:spacing w:after="0" w:line="440" w:lineRule="exact"/>
        <w:ind w:firstLine="228" w:firstLineChars="100"/>
        <w:textAlignment w:val="auto"/>
        <w:rPr>
          <w:rFonts w:ascii="宋体" w:hAnsi="宋体" w:cs="宋体"/>
          <w:color w:val="auto"/>
          <w:sz w:val="24"/>
        </w:rPr>
      </w:pPr>
      <w:r>
        <w:rPr>
          <w:rFonts w:hint="eastAsia" w:ascii="宋体" w:hAnsi="宋体" w:cs="宋体"/>
          <w:color w:val="auto"/>
          <w:sz w:val="24"/>
        </w:rPr>
        <w:t>2、本项目产生的验收及相关费用由供应商据实结算。</w:t>
      </w:r>
    </w:p>
    <w:p>
      <w:pPr>
        <w:keepNext w:val="0"/>
        <w:keepLines w:val="0"/>
        <w:pageBreakBefore w:val="0"/>
        <w:widowControl/>
        <w:tabs>
          <w:tab w:val="left" w:pos="700"/>
        </w:tabs>
        <w:kinsoku/>
        <w:wordWrap/>
        <w:overflowPunct/>
        <w:topLinePunct w:val="0"/>
        <w:autoSpaceDE w:val="0"/>
        <w:autoSpaceDN w:val="0"/>
        <w:bidi w:val="0"/>
        <w:adjustRightInd w:val="0"/>
        <w:snapToGrid/>
        <w:spacing w:after="0" w:line="440" w:lineRule="exact"/>
        <w:ind w:firstLine="228" w:firstLineChars="100"/>
        <w:textAlignment w:val="auto"/>
        <w:rPr>
          <w:rFonts w:ascii="宋体" w:hAnsi="宋体" w:cs="宋体"/>
          <w:color w:val="auto"/>
          <w:sz w:val="24"/>
        </w:rPr>
      </w:pPr>
      <w:r>
        <w:rPr>
          <w:rFonts w:hint="eastAsia" w:ascii="宋体" w:hAnsi="宋体" w:cs="宋体"/>
          <w:color w:val="auto"/>
          <w:sz w:val="24"/>
        </w:rPr>
        <w:t>无论投标过程中的做法和结果如何，供应商自行承担所有与参加投标有关的费用。</w:t>
      </w:r>
    </w:p>
    <w:p>
      <w:pPr>
        <w:keepNext w:val="0"/>
        <w:keepLines w:val="0"/>
        <w:pageBreakBefore w:val="0"/>
        <w:widowControl/>
        <w:kinsoku/>
        <w:wordWrap/>
        <w:overflowPunct/>
        <w:topLinePunct w:val="0"/>
        <w:bidi w:val="0"/>
        <w:snapToGrid/>
        <w:spacing w:after="0" w:line="440" w:lineRule="exact"/>
        <w:textAlignment w:val="auto"/>
        <w:rPr>
          <w:rFonts w:ascii="宋体" w:hAnsi="宋体" w:cs="宋体"/>
          <w:b/>
          <w:color w:val="auto"/>
          <w:sz w:val="24"/>
          <w:szCs w:val="24"/>
        </w:rPr>
      </w:pPr>
      <w:r>
        <w:rPr>
          <w:rFonts w:hint="eastAsia" w:ascii="宋体" w:hAnsi="宋体" w:cs="宋体"/>
          <w:b/>
          <w:color w:val="auto"/>
          <w:sz w:val="24"/>
          <w:szCs w:val="24"/>
        </w:rPr>
        <w:t>四、评分因素及评标标准（分数计算保留小数点后2位，第3位四舍五入）</w:t>
      </w:r>
    </w:p>
    <w:tbl>
      <w:tblPr>
        <w:tblStyle w:val="30"/>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
        <w:gridCol w:w="1168"/>
        <w:gridCol w:w="7219"/>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8717" w:type="dxa"/>
            <w:gridSpan w:val="3"/>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rPr>
            </w:pPr>
            <w:r>
              <w:rPr>
                <w:rFonts w:hint="eastAsia" w:ascii="宋体" w:hAnsi="宋体" w:cs="宋体"/>
                <w:color w:val="auto"/>
                <w:sz w:val="24"/>
                <w:szCs w:val="24"/>
              </w:rPr>
              <w:t>第一部分 价格（30分）</w:t>
            </w:r>
          </w:p>
        </w:tc>
        <w:tc>
          <w:tcPr>
            <w:tcW w:w="742" w:type="dxa"/>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rPr>
            </w:pPr>
            <w:r>
              <w:rPr>
                <w:rFonts w:hint="eastAsia" w:ascii="宋体" w:hAnsi="宋体" w:cs="宋体"/>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30" w:type="dxa"/>
            <w:noWrap/>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rPr>
            </w:pPr>
            <w:r>
              <w:rPr>
                <w:rFonts w:hint="eastAsia" w:ascii="宋体" w:hAnsi="宋体" w:cs="宋体"/>
                <w:color w:val="auto"/>
                <w:sz w:val="24"/>
                <w:szCs w:val="24"/>
              </w:rPr>
              <w:t>1</w:t>
            </w:r>
          </w:p>
        </w:tc>
        <w:tc>
          <w:tcPr>
            <w:tcW w:w="1168" w:type="dxa"/>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rPr>
            </w:pPr>
            <w:r>
              <w:rPr>
                <w:rFonts w:hint="eastAsia" w:ascii="宋体" w:hAnsi="宋体" w:cs="宋体"/>
                <w:color w:val="auto"/>
                <w:sz w:val="24"/>
                <w:szCs w:val="24"/>
              </w:rPr>
              <w:t>价格</w:t>
            </w:r>
          </w:p>
        </w:tc>
        <w:tc>
          <w:tcPr>
            <w:tcW w:w="7219" w:type="dxa"/>
            <w:vAlign w:val="center"/>
          </w:tcPr>
          <w:p>
            <w:pPr>
              <w:keepNext w:val="0"/>
              <w:keepLines w:val="0"/>
              <w:pageBreakBefore w:val="0"/>
              <w:widowControl/>
              <w:kinsoku/>
              <w:wordWrap/>
              <w:overflowPunct/>
              <w:topLinePunct w:val="0"/>
              <w:autoSpaceDE/>
              <w:autoSpaceDN/>
              <w:bidi w:val="0"/>
              <w:adjustRightInd/>
              <w:spacing w:after="0" w:line="440" w:lineRule="exact"/>
              <w:textAlignment w:val="auto"/>
              <w:rPr>
                <w:rFonts w:ascii="宋体" w:hAnsi="宋体" w:cs="宋体"/>
                <w:color w:val="auto"/>
                <w:sz w:val="24"/>
                <w:szCs w:val="24"/>
              </w:rPr>
            </w:pPr>
            <w:r>
              <w:rPr>
                <w:rFonts w:hint="eastAsia" w:ascii="宋体" w:hAnsi="宋体" w:cs="宋体"/>
                <w:color w:val="auto"/>
                <w:sz w:val="24"/>
                <w:szCs w:val="24"/>
              </w:rPr>
              <w:t>（1）投标报价超过采购预算的，投标无效，未超过采购预算的投标报价按以下公式进行计算。</w:t>
            </w:r>
          </w:p>
          <w:p>
            <w:pPr>
              <w:keepNext w:val="0"/>
              <w:keepLines w:val="0"/>
              <w:pageBreakBefore w:val="0"/>
              <w:widowControl/>
              <w:kinsoku/>
              <w:wordWrap/>
              <w:overflowPunct/>
              <w:topLinePunct w:val="0"/>
              <w:autoSpaceDE/>
              <w:autoSpaceDN/>
              <w:bidi w:val="0"/>
              <w:adjustRightInd/>
              <w:spacing w:after="0" w:line="440" w:lineRule="exact"/>
              <w:textAlignment w:val="auto"/>
              <w:rPr>
                <w:rFonts w:ascii="宋体" w:hAnsi="宋体" w:cs="宋体"/>
                <w:color w:val="auto"/>
                <w:sz w:val="24"/>
                <w:szCs w:val="24"/>
              </w:rPr>
            </w:pPr>
            <w:r>
              <w:rPr>
                <w:rFonts w:hint="eastAsia" w:ascii="宋体" w:hAnsi="宋体" w:cs="宋体"/>
                <w:color w:val="auto"/>
                <w:sz w:val="24"/>
                <w:szCs w:val="24"/>
              </w:rPr>
              <w:t>（2）投标报价得分=（评标基准价/投标报价）×30</w:t>
            </w:r>
          </w:p>
          <w:p>
            <w:pPr>
              <w:keepNext w:val="0"/>
              <w:keepLines w:val="0"/>
              <w:pageBreakBefore w:val="0"/>
              <w:widowControl/>
              <w:kinsoku/>
              <w:wordWrap/>
              <w:overflowPunct/>
              <w:topLinePunct w:val="0"/>
              <w:autoSpaceDE/>
              <w:autoSpaceDN/>
              <w:bidi w:val="0"/>
              <w:adjustRightInd/>
              <w:spacing w:after="0" w:line="440" w:lineRule="exact"/>
              <w:textAlignment w:val="auto"/>
              <w:rPr>
                <w:rFonts w:ascii="宋体" w:hAnsi="宋体" w:cs="宋体"/>
                <w:color w:val="auto"/>
                <w:sz w:val="24"/>
                <w:szCs w:val="24"/>
              </w:rPr>
            </w:pPr>
            <w:r>
              <w:rPr>
                <w:rFonts w:hint="eastAsia" w:ascii="宋体" w:hAnsi="宋体" w:cs="宋体"/>
                <w:color w:val="auto"/>
                <w:sz w:val="24"/>
                <w:szCs w:val="24"/>
              </w:rPr>
              <w:t>注：满足招标文件要求且投标报价最低的投标报价为评标基准价。</w:t>
            </w:r>
          </w:p>
        </w:tc>
        <w:tc>
          <w:tcPr>
            <w:tcW w:w="742" w:type="dxa"/>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rPr>
            </w:pPr>
            <w:r>
              <w:rPr>
                <w:rFonts w:ascii="宋体" w:hAnsi="宋体" w:cs="宋体"/>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717" w:type="dxa"/>
            <w:gridSpan w:val="3"/>
            <w:noWrap/>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第二部分 商务因素（</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分）</w:t>
            </w:r>
          </w:p>
        </w:tc>
        <w:tc>
          <w:tcPr>
            <w:tcW w:w="742" w:type="dxa"/>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rPr>
            </w:pPr>
            <w:r>
              <w:rPr>
                <w:rFonts w:hint="eastAsia" w:ascii="宋体" w:hAnsi="宋体" w:cs="宋体"/>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jc w:val="center"/>
        </w:trPr>
        <w:tc>
          <w:tcPr>
            <w:tcW w:w="330" w:type="dxa"/>
            <w:noWrap/>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168" w:type="dxa"/>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cs="宋体"/>
                <w:color w:val="auto"/>
                <w:sz w:val="24"/>
                <w:szCs w:val="24"/>
                <w:highlight w:val="none"/>
              </w:rPr>
              <w:t>实施能力</w:t>
            </w:r>
          </w:p>
        </w:tc>
        <w:tc>
          <w:tcPr>
            <w:tcW w:w="7219" w:type="dxa"/>
            <w:vAlign w:val="center"/>
          </w:tcPr>
          <w:p>
            <w:pPr>
              <w:keepNext w:val="0"/>
              <w:keepLines w:val="0"/>
              <w:pageBreakBefore w:val="0"/>
              <w:widowControl/>
              <w:kinsoku/>
              <w:wordWrap/>
              <w:overflowPunct/>
              <w:topLinePunct w:val="0"/>
              <w:autoSpaceDE/>
              <w:autoSpaceDN/>
              <w:bidi w:val="0"/>
              <w:adjustRightInd/>
              <w:snapToGrid/>
              <w:spacing w:after="0" w:line="440" w:lineRule="exact"/>
              <w:ind w:firstLine="224" w:firstLineChars="98"/>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完全按照以下要求提供与本项目内容相当且已完成的201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年至今的成功案例，按照以下要求执行提供的证明材料均不得遮挡涂黑，否则不予认定加分。（提供一个案例计</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分，最多</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（1）合同复印件。包括合同金额、合同清单、买卖双方名称及盖章。</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（2）验收报告复印件。</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（3）用户出具的成功履行合同的相关证明材料。</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ascii="宋体" w:hAnsi="宋体" w:cs="宋体"/>
                <w:color w:val="auto"/>
                <w:sz w:val="24"/>
                <w:szCs w:val="24"/>
                <w:highlight w:val="none"/>
              </w:rPr>
            </w:pPr>
            <w:r>
              <w:rPr>
                <w:rFonts w:hint="eastAsia" w:ascii="宋体" w:hAnsi="宋体" w:eastAsia="宋体" w:cs="宋体"/>
                <w:color w:val="auto"/>
                <w:sz w:val="24"/>
                <w:szCs w:val="24"/>
              </w:rPr>
              <w:t>（4）第（2）、（3）项可提供任意一项。</w:t>
            </w:r>
          </w:p>
        </w:tc>
        <w:tc>
          <w:tcPr>
            <w:tcW w:w="742" w:type="dxa"/>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17" w:type="dxa"/>
            <w:gridSpan w:val="3"/>
            <w:noWrap/>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第三部分 技术因素（</w:t>
            </w:r>
            <w:r>
              <w:rPr>
                <w:rFonts w:hint="eastAsia" w:ascii="宋体" w:hAnsi="宋体" w:cs="宋体"/>
                <w:color w:val="auto"/>
                <w:sz w:val="24"/>
                <w:szCs w:val="24"/>
                <w:highlight w:val="none"/>
                <w:lang w:val="en-US" w:eastAsia="zh-CN"/>
              </w:rPr>
              <w:t>64</w:t>
            </w:r>
            <w:r>
              <w:rPr>
                <w:rFonts w:hint="eastAsia" w:ascii="宋体" w:hAnsi="宋体" w:cs="宋体"/>
                <w:color w:val="auto"/>
                <w:sz w:val="24"/>
                <w:szCs w:val="24"/>
                <w:highlight w:val="none"/>
              </w:rPr>
              <w:t>分）</w:t>
            </w:r>
          </w:p>
        </w:tc>
        <w:tc>
          <w:tcPr>
            <w:tcW w:w="742" w:type="dxa"/>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rPr>
            </w:pPr>
            <w:r>
              <w:rPr>
                <w:rFonts w:hint="eastAsia" w:ascii="宋体" w:hAnsi="宋体" w:cs="宋体"/>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30" w:type="dxa"/>
            <w:noWrap/>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168" w:type="dxa"/>
            <w:vAlign w:val="center"/>
          </w:tcPr>
          <w:p>
            <w:pPr>
              <w:keepNext w:val="0"/>
              <w:keepLines w:val="0"/>
              <w:pageBreakBefore w:val="0"/>
              <w:widowControl/>
              <w:kinsoku/>
              <w:wordWrap/>
              <w:overflowPunct/>
              <w:topLinePunct w:val="0"/>
              <w:autoSpaceDE/>
              <w:autoSpaceDN/>
              <w:bidi w:val="0"/>
              <w:adjustRightInd/>
              <w:snapToGrid w:val="0"/>
              <w:spacing w:after="0" w:line="440" w:lineRule="exact"/>
              <w:jc w:val="center"/>
              <w:textAlignment w:val="auto"/>
              <w:rPr>
                <w:rFonts w:ascii="宋体" w:hAnsi="宋体" w:cs="宋体"/>
                <w:color w:val="auto"/>
                <w:sz w:val="24"/>
                <w:szCs w:val="24"/>
                <w:highlight w:val="none"/>
              </w:rPr>
            </w:pPr>
            <w:r>
              <w:rPr>
                <w:rFonts w:hint="eastAsia" w:ascii="宋体" w:hAnsi="宋体" w:cs="宋体"/>
                <w:color w:val="auto"/>
                <w:sz w:val="24"/>
                <w:szCs w:val="24"/>
                <w:highlight w:val="none"/>
              </w:rPr>
              <w:t>非“★”技术参数评价</w:t>
            </w:r>
          </w:p>
        </w:tc>
        <w:tc>
          <w:tcPr>
            <w:tcW w:w="7219" w:type="dxa"/>
            <w:vAlign w:val="center"/>
          </w:tcPr>
          <w:p>
            <w:pPr>
              <w:keepNext w:val="0"/>
              <w:keepLines w:val="0"/>
              <w:pageBreakBefore w:val="0"/>
              <w:widowControl/>
              <w:kinsoku/>
              <w:wordWrap/>
              <w:overflowPunct/>
              <w:topLinePunct w:val="0"/>
              <w:autoSpaceDE/>
              <w:autoSpaceDN/>
              <w:bidi w:val="0"/>
              <w:adjustRightInd/>
              <w:snapToGrid w:val="0"/>
              <w:spacing w:after="0" w:line="44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所提供的产品满足招标文件的技术需求。</w:t>
            </w:r>
          </w:p>
          <w:p>
            <w:pPr>
              <w:keepNext w:val="0"/>
              <w:keepLines w:val="0"/>
              <w:pageBreakBefore w:val="0"/>
              <w:widowControl/>
              <w:kinsoku/>
              <w:wordWrap/>
              <w:overflowPunct/>
              <w:topLinePunct w:val="0"/>
              <w:autoSpaceDE/>
              <w:autoSpaceDN/>
              <w:bidi w:val="0"/>
              <w:adjustRightInd/>
              <w:snapToGrid w:val="0"/>
              <w:spacing w:after="0" w:line="44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（1）无负偏离：</w:t>
            </w:r>
            <w:r>
              <w:rPr>
                <w:rFonts w:hint="eastAsia" w:ascii="宋体" w:hAnsi="宋体" w:cs="宋体"/>
                <w:color w:val="auto"/>
                <w:sz w:val="24"/>
                <w:szCs w:val="24"/>
                <w:highlight w:val="none"/>
                <w:lang w:val="en-US" w:eastAsia="zh-CN"/>
              </w:rPr>
              <w:t>16</w:t>
            </w:r>
            <w:r>
              <w:rPr>
                <w:rFonts w:hint="eastAsia" w:ascii="宋体" w:hAnsi="宋体" w:cs="宋体"/>
                <w:color w:val="auto"/>
                <w:sz w:val="24"/>
                <w:szCs w:val="24"/>
                <w:highlight w:val="none"/>
              </w:rPr>
              <w:t>分</w:t>
            </w:r>
          </w:p>
          <w:p>
            <w:pPr>
              <w:keepNext w:val="0"/>
              <w:keepLines w:val="0"/>
              <w:pageBreakBefore w:val="0"/>
              <w:widowControl/>
              <w:kinsoku/>
              <w:wordWrap/>
              <w:overflowPunct/>
              <w:topLinePunct w:val="0"/>
              <w:autoSpaceDE/>
              <w:autoSpaceDN/>
              <w:bidi w:val="0"/>
              <w:adjustRightInd/>
              <w:snapToGrid w:val="0"/>
              <w:spacing w:after="0" w:line="44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（2）非“★”项技术参数低于招标文件要求的，每条扣1分，最低0分。</w:t>
            </w:r>
          </w:p>
        </w:tc>
        <w:tc>
          <w:tcPr>
            <w:tcW w:w="742" w:type="dxa"/>
            <w:vAlign w:val="center"/>
          </w:tcPr>
          <w:p>
            <w:pPr>
              <w:keepNext w:val="0"/>
              <w:keepLines w:val="0"/>
              <w:pageBreakBefore w:val="0"/>
              <w:widowControl/>
              <w:kinsoku/>
              <w:wordWrap/>
              <w:overflowPunct/>
              <w:topLinePunct w:val="0"/>
              <w:autoSpaceDE/>
              <w:autoSpaceDN/>
              <w:bidi w:val="0"/>
              <w:adjustRightInd/>
              <w:snapToGrid w:val="0"/>
              <w:spacing w:after="0" w:line="440" w:lineRule="exact"/>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330" w:type="dxa"/>
            <w:noWrap/>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hint="eastAsia" w:ascii="宋体" w:hAnsi="宋体" w:eastAsia="宋体" w:cs="宋体"/>
                <w:color w:val="auto"/>
                <w:sz w:val="24"/>
                <w:szCs w:val="24"/>
                <w:lang w:val="en-US" w:eastAsia="zh-CN" w:bidi="ar-SA"/>
              </w:rPr>
            </w:pPr>
            <w:r>
              <w:rPr>
                <w:rFonts w:hint="eastAsia" w:ascii="宋体" w:hAnsi="宋体" w:cs="宋体"/>
                <w:color w:val="auto"/>
                <w:sz w:val="24"/>
                <w:szCs w:val="24"/>
                <w:lang w:val="en-US" w:eastAsia="zh-CN"/>
              </w:rPr>
              <w:t>2</w:t>
            </w:r>
          </w:p>
        </w:tc>
        <w:tc>
          <w:tcPr>
            <w:tcW w:w="1168" w:type="dxa"/>
            <w:vAlign w:val="center"/>
          </w:tcPr>
          <w:p>
            <w:pPr>
              <w:spacing w:after="0" w:line="400" w:lineRule="exact"/>
              <w:jc w:val="center"/>
              <w:rPr>
                <w:rFonts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zh-TW"/>
              </w:rPr>
              <w:t>提供针对本项目的实施</w:t>
            </w:r>
            <w:r>
              <w:rPr>
                <w:rFonts w:hint="eastAsia" w:ascii="宋体" w:hAnsi="宋体" w:cs="宋体"/>
                <w:color w:val="auto"/>
                <w:sz w:val="24"/>
                <w:szCs w:val="24"/>
                <w:highlight w:val="none"/>
              </w:rPr>
              <w:t>方案评价</w:t>
            </w:r>
          </w:p>
        </w:tc>
        <w:tc>
          <w:tcPr>
            <w:tcW w:w="7219" w:type="dxa"/>
            <w:vAlign w:val="center"/>
          </w:tcPr>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实施方案详细全面，针对性、可行性强，规范化及标准化</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内容无瑕疵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分</w:t>
            </w:r>
          </w:p>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实施方案全面，可行性强，</w:t>
            </w:r>
            <w:r>
              <w:rPr>
                <w:rFonts w:hint="eastAsia" w:ascii="宋体" w:hAnsi="宋体" w:cs="宋体"/>
                <w:color w:val="auto"/>
                <w:sz w:val="24"/>
                <w:szCs w:val="24"/>
                <w:highlight w:val="none"/>
                <w:lang w:val="en-US" w:eastAsia="zh-CN"/>
              </w:rPr>
              <w:t>但内容存在1处瑕疵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w:t>
            </w:r>
          </w:p>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实施方案详细</w:t>
            </w:r>
            <w:r>
              <w:rPr>
                <w:rFonts w:hint="eastAsia" w:ascii="宋体" w:hAnsi="宋体" w:cs="宋体"/>
                <w:color w:val="auto"/>
                <w:sz w:val="24"/>
                <w:szCs w:val="24"/>
                <w:highlight w:val="none"/>
                <w:lang w:val="en-US" w:eastAsia="zh-CN"/>
              </w:rPr>
              <w:t>有</w:t>
            </w:r>
            <w:r>
              <w:rPr>
                <w:rFonts w:hint="eastAsia" w:ascii="宋体" w:hAnsi="宋体" w:cs="宋体"/>
                <w:color w:val="auto"/>
                <w:sz w:val="24"/>
                <w:szCs w:val="24"/>
                <w:highlight w:val="none"/>
              </w:rPr>
              <w:t>可行性，</w:t>
            </w:r>
            <w:r>
              <w:rPr>
                <w:rFonts w:hint="eastAsia" w:ascii="宋体" w:hAnsi="宋体" w:cs="宋体"/>
                <w:color w:val="auto"/>
                <w:sz w:val="24"/>
                <w:szCs w:val="24"/>
                <w:highlight w:val="none"/>
                <w:lang w:val="en-US" w:eastAsia="zh-CN"/>
              </w:rPr>
              <w:t>但内容存在2处瑕疵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w:t>
            </w:r>
          </w:p>
          <w:p>
            <w:pPr>
              <w:spacing w:after="0" w:line="400" w:lineRule="exact"/>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rPr>
              <w:t>内容存在3处及以上瑕疵</w:t>
            </w:r>
            <w:r>
              <w:rPr>
                <w:rFonts w:hint="eastAsia" w:ascii="宋体" w:hAnsi="宋体" w:cs="宋体"/>
                <w:color w:val="auto"/>
                <w:sz w:val="24"/>
                <w:szCs w:val="24"/>
                <w:highlight w:val="none"/>
              </w:rPr>
              <w:t>：0分</w:t>
            </w:r>
          </w:p>
        </w:tc>
        <w:tc>
          <w:tcPr>
            <w:tcW w:w="742" w:type="dxa"/>
            <w:vAlign w:val="center"/>
          </w:tcPr>
          <w:p>
            <w:pPr>
              <w:spacing w:after="0" w:line="440" w:lineRule="exact"/>
              <w:jc w:val="center"/>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330" w:type="dxa"/>
            <w:noWrap/>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rPr>
            </w:pPr>
            <w:r>
              <w:rPr>
                <w:rFonts w:hint="eastAsia" w:ascii="宋体" w:hAnsi="宋体" w:cs="宋体"/>
                <w:color w:val="auto"/>
                <w:sz w:val="24"/>
                <w:szCs w:val="24"/>
              </w:rPr>
              <w:t>3</w:t>
            </w:r>
          </w:p>
        </w:tc>
        <w:tc>
          <w:tcPr>
            <w:tcW w:w="1168" w:type="dxa"/>
            <w:vAlign w:val="center"/>
          </w:tcPr>
          <w:p>
            <w:pPr>
              <w:spacing w:after="0" w:line="400" w:lineRule="exact"/>
              <w:rPr>
                <w:rFonts w:ascii="宋体" w:hAnsi="宋体" w:eastAsia="宋体" w:cs="宋体"/>
                <w:color w:val="auto"/>
                <w:sz w:val="24"/>
                <w:szCs w:val="24"/>
                <w:highlight w:val="none"/>
                <w:lang w:val="zh-TW" w:eastAsia="zh-TW" w:bidi="ar-SA"/>
              </w:rPr>
            </w:pPr>
            <w:r>
              <w:rPr>
                <w:rFonts w:hint="eastAsia" w:ascii="宋体" w:hAnsi="宋体" w:cs="宋体"/>
                <w:color w:val="auto"/>
                <w:sz w:val="24"/>
                <w:szCs w:val="24"/>
                <w:highlight w:val="none"/>
              </w:rPr>
              <w:t>技术服务方案</w:t>
            </w:r>
          </w:p>
        </w:tc>
        <w:tc>
          <w:tcPr>
            <w:tcW w:w="7219" w:type="dxa"/>
            <w:vAlign w:val="top"/>
          </w:tcPr>
          <w:p>
            <w:pPr>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结合项目要求，提出完善的技术服务方案，技术培训方案能完全满足磋商文件的要求，方案完整、先进、可行，内容无瑕疵：</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分</w:t>
            </w:r>
          </w:p>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结合项目要求，提出完善的技术服务方案，技术培训方案，</w:t>
            </w:r>
            <w:r>
              <w:rPr>
                <w:rFonts w:hint="eastAsia" w:ascii="宋体" w:hAnsi="宋体" w:cs="宋体"/>
                <w:color w:val="auto"/>
                <w:sz w:val="24"/>
                <w:szCs w:val="24"/>
                <w:highlight w:val="none"/>
                <w:lang w:val="en-US" w:eastAsia="zh-CN"/>
              </w:rPr>
              <w:t>方案完整，但内容存在1处瑕疵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w:t>
            </w:r>
          </w:p>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结合项目要求，提出完善的技术服务方案，技术培训方案，</w:t>
            </w:r>
            <w:r>
              <w:rPr>
                <w:rFonts w:hint="eastAsia" w:ascii="宋体" w:hAnsi="宋体" w:cs="宋体"/>
                <w:color w:val="auto"/>
                <w:sz w:val="24"/>
                <w:szCs w:val="24"/>
                <w:highlight w:val="none"/>
                <w:lang w:val="en-US" w:eastAsia="zh-CN"/>
              </w:rPr>
              <w:t>方案可行</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内容存在2处瑕疵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w:t>
            </w:r>
          </w:p>
          <w:p>
            <w:pPr>
              <w:spacing w:after="0" w:line="400" w:lineRule="exact"/>
              <w:rPr>
                <w:rFonts w:ascii="宋体" w:hAnsi="宋体" w:eastAsia="宋体" w:cs="宋体"/>
                <w:color w:val="auto"/>
                <w:sz w:val="24"/>
                <w:szCs w:val="24"/>
                <w:highlight w:val="none"/>
                <w:lang w:val="zh-TW" w:eastAsia="zh-CN" w:bidi="ar-SA"/>
              </w:rPr>
            </w:pPr>
            <w:r>
              <w:rPr>
                <w:rFonts w:hint="eastAsia" w:ascii="宋体" w:hAnsi="宋体" w:cs="宋体"/>
                <w:color w:val="auto"/>
                <w:sz w:val="24"/>
                <w:szCs w:val="24"/>
                <w:highlight w:val="none"/>
                <w:lang w:val="en-US" w:eastAsia="zh-CN"/>
              </w:rPr>
              <w:t>内容存在3处及以上瑕疵</w:t>
            </w:r>
            <w:r>
              <w:rPr>
                <w:rFonts w:hint="eastAsia" w:ascii="宋体" w:hAnsi="宋体" w:cs="宋体"/>
                <w:color w:val="auto"/>
                <w:sz w:val="24"/>
                <w:szCs w:val="24"/>
                <w:highlight w:val="none"/>
              </w:rPr>
              <w:t>：0分</w:t>
            </w:r>
          </w:p>
        </w:tc>
        <w:tc>
          <w:tcPr>
            <w:tcW w:w="742" w:type="dxa"/>
            <w:vAlign w:val="center"/>
          </w:tcPr>
          <w:p>
            <w:pPr>
              <w:spacing w:after="0" w:line="440" w:lineRule="exact"/>
              <w:jc w:val="center"/>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30" w:type="dxa"/>
            <w:noWrap/>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168" w:type="dxa"/>
            <w:vAlign w:val="center"/>
          </w:tcPr>
          <w:p>
            <w:pPr>
              <w:spacing w:after="0" w:line="400" w:lineRule="exact"/>
              <w:jc w:val="center"/>
              <w:rPr>
                <w:rFonts w:ascii="宋体" w:hAnsi="Calibri" w:eastAsia="宋体" w:cs="宋体"/>
                <w:color w:val="auto"/>
                <w:sz w:val="24"/>
                <w:szCs w:val="24"/>
                <w:highlight w:val="none"/>
                <w:lang w:val="en-US" w:eastAsia="zh-CN" w:bidi="ar-SA"/>
              </w:rPr>
            </w:pPr>
            <w:r>
              <w:rPr>
                <w:rFonts w:hint="eastAsia" w:ascii="宋体" w:hAnsi="宋体" w:cs="宋体"/>
                <w:color w:val="auto"/>
                <w:sz w:val="24"/>
                <w:szCs w:val="24"/>
                <w:highlight w:val="none"/>
              </w:rPr>
              <w:t>产品整体性能评价</w:t>
            </w:r>
          </w:p>
        </w:tc>
        <w:tc>
          <w:tcPr>
            <w:tcW w:w="7219" w:type="dxa"/>
            <w:vAlign w:val="center"/>
          </w:tcPr>
          <w:p>
            <w:pPr>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所投产品，从关键部件的品质先进、稳定、安全、耐用进行综合比较。</w:t>
            </w:r>
          </w:p>
          <w:p>
            <w:pPr>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所投产品先进、稳定、安全、耐用性高，推广使用广泛，技术支持材料详细全面，内容无瑕疵：</w:t>
            </w:r>
            <w:r>
              <w:rPr>
                <w:rFonts w:ascii="宋体" w:hAnsi="宋体" w:cs="宋体"/>
                <w:color w:val="auto"/>
                <w:sz w:val="24"/>
                <w:szCs w:val="24"/>
                <w:highlight w:val="none"/>
              </w:rPr>
              <w:t>6</w:t>
            </w:r>
            <w:r>
              <w:rPr>
                <w:rFonts w:hint="eastAsia" w:ascii="宋体" w:hAnsi="宋体" w:cs="宋体"/>
                <w:color w:val="auto"/>
                <w:sz w:val="24"/>
                <w:szCs w:val="24"/>
                <w:highlight w:val="none"/>
              </w:rPr>
              <w:t>分</w:t>
            </w:r>
          </w:p>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所投产品稳定、安全、耐用性高，</w:t>
            </w:r>
            <w:r>
              <w:rPr>
                <w:rFonts w:hint="eastAsia" w:ascii="宋体" w:hAnsi="宋体" w:cs="宋体"/>
                <w:color w:val="auto"/>
                <w:sz w:val="24"/>
                <w:szCs w:val="24"/>
                <w:highlight w:val="none"/>
                <w:lang w:val="en-US" w:eastAsia="zh-CN"/>
              </w:rPr>
              <w:t>但内容存在1处瑕疵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w:t>
            </w:r>
          </w:p>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所投产品</w:t>
            </w:r>
            <w:r>
              <w:rPr>
                <w:rFonts w:hint="eastAsia" w:ascii="宋体" w:hAnsi="宋体" w:cs="宋体"/>
                <w:color w:val="auto"/>
                <w:sz w:val="24"/>
                <w:szCs w:val="24"/>
                <w:highlight w:val="none"/>
                <w:lang w:val="en-US" w:eastAsia="zh-CN"/>
              </w:rPr>
              <w:t>稳定、安全</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但内容存在2处瑕疵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w:t>
            </w:r>
          </w:p>
          <w:p>
            <w:pPr>
              <w:spacing w:after="0" w:line="400" w:lineRule="exact"/>
              <w:rPr>
                <w:rFonts w:ascii="宋体" w:hAnsi="宋体" w:eastAsia="宋体" w:cs="Times New Roman"/>
                <w:color w:val="auto"/>
                <w:sz w:val="24"/>
                <w:szCs w:val="24"/>
                <w:highlight w:val="none"/>
                <w:lang w:val="zh-TW" w:eastAsia="zh-CN" w:bidi="ar-SA"/>
              </w:rPr>
            </w:pPr>
            <w:r>
              <w:rPr>
                <w:rFonts w:hint="eastAsia" w:ascii="宋体" w:hAnsi="宋体" w:cs="宋体"/>
                <w:color w:val="auto"/>
                <w:sz w:val="24"/>
                <w:szCs w:val="24"/>
                <w:highlight w:val="none"/>
                <w:lang w:val="en-US" w:eastAsia="zh-CN"/>
              </w:rPr>
              <w:t>内容存在3处及以上瑕疵</w:t>
            </w:r>
            <w:r>
              <w:rPr>
                <w:rFonts w:hint="eastAsia" w:ascii="宋体" w:hAnsi="宋体" w:cs="宋体"/>
                <w:color w:val="auto"/>
                <w:sz w:val="24"/>
                <w:szCs w:val="24"/>
                <w:highlight w:val="none"/>
              </w:rPr>
              <w:t>：0分</w:t>
            </w:r>
          </w:p>
        </w:tc>
        <w:tc>
          <w:tcPr>
            <w:tcW w:w="742" w:type="dxa"/>
            <w:vAlign w:val="center"/>
          </w:tcPr>
          <w:p>
            <w:pPr>
              <w:spacing w:after="0" w:line="440" w:lineRule="exact"/>
              <w:jc w:val="center"/>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30" w:type="dxa"/>
            <w:noWrap/>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rPr>
              <w:t>5</w:t>
            </w:r>
          </w:p>
        </w:tc>
        <w:tc>
          <w:tcPr>
            <w:tcW w:w="1168" w:type="dxa"/>
            <w:vAlign w:val="center"/>
          </w:tcPr>
          <w:p>
            <w:pPr>
              <w:spacing w:after="0" w:line="440" w:lineRule="exact"/>
              <w:jc w:val="center"/>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项目</w:t>
            </w:r>
            <w:r>
              <w:rPr>
                <w:rFonts w:hint="eastAsia" w:ascii="宋体" w:hAnsi="宋体" w:cs="宋体"/>
                <w:color w:val="auto"/>
                <w:sz w:val="24"/>
                <w:highlight w:val="none"/>
              </w:rPr>
              <w:t>进度安排评价</w:t>
            </w:r>
          </w:p>
        </w:tc>
        <w:tc>
          <w:tcPr>
            <w:tcW w:w="7219" w:type="dxa"/>
            <w:vAlign w:val="top"/>
          </w:tcPr>
          <w:p>
            <w:pPr>
              <w:spacing w:after="0"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进度安排合理、进度计划详细、可操作性强，能充分满足交货期要求</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内容无瑕疵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分</w:t>
            </w:r>
          </w:p>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进度安排合理、进度计划详细，</w:t>
            </w:r>
            <w:r>
              <w:rPr>
                <w:rFonts w:hint="eastAsia" w:ascii="宋体" w:hAnsi="宋体" w:cs="宋体"/>
                <w:color w:val="auto"/>
                <w:sz w:val="24"/>
                <w:szCs w:val="24"/>
                <w:highlight w:val="none"/>
                <w:lang w:val="en-US" w:eastAsia="zh-CN"/>
              </w:rPr>
              <w:t>但内容存在1处瑕疵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w:t>
            </w:r>
          </w:p>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进度安排合理，</w:t>
            </w:r>
            <w:r>
              <w:rPr>
                <w:rFonts w:hint="eastAsia" w:ascii="宋体" w:hAnsi="宋体" w:cs="宋体"/>
                <w:color w:val="auto"/>
                <w:sz w:val="24"/>
                <w:szCs w:val="24"/>
                <w:highlight w:val="none"/>
                <w:lang w:val="en-US" w:eastAsia="zh-CN"/>
              </w:rPr>
              <w:t>但内容存在2处瑕疵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w:t>
            </w:r>
          </w:p>
          <w:p>
            <w:pPr>
              <w:spacing w:after="0" w:line="440" w:lineRule="exact"/>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rPr>
              <w:t>内容存在3处及以上瑕疵</w:t>
            </w:r>
            <w:r>
              <w:rPr>
                <w:rFonts w:hint="eastAsia" w:ascii="宋体" w:hAnsi="宋体" w:cs="宋体"/>
                <w:color w:val="auto"/>
                <w:sz w:val="24"/>
                <w:szCs w:val="24"/>
                <w:highlight w:val="none"/>
              </w:rPr>
              <w:t>：0分</w:t>
            </w:r>
          </w:p>
        </w:tc>
        <w:tc>
          <w:tcPr>
            <w:tcW w:w="742" w:type="dxa"/>
            <w:vAlign w:val="center"/>
          </w:tcPr>
          <w:p>
            <w:pPr>
              <w:spacing w:after="0" w:line="440" w:lineRule="exact"/>
              <w:jc w:val="center"/>
              <w:rPr>
                <w:rFonts w:hint="default"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330" w:type="dxa"/>
            <w:noWrap/>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rPr>
            </w:pPr>
            <w:r>
              <w:rPr>
                <w:rFonts w:hint="eastAsia" w:ascii="宋体" w:hAnsi="宋体" w:cs="宋体"/>
                <w:color w:val="auto"/>
                <w:sz w:val="24"/>
                <w:szCs w:val="24"/>
              </w:rPr>
              <w:t>6</w:t>
            </w:r>
          </w:p>
        </w:tc>
        <w:tc>
          <w:tcPr>
            <w:tcW w:w="1168" w:type="dxa"/>
            <w:vAlign w:val="center"/>
          </w:tcPr>
          <w:p>
            <w:pPr>
              <w:spacing w:after="0" w:line="400" w:lineRule="exact"/>
              <w:jc w:val="center"/>
              <w:rPr>
                <w:rFonts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售后服务及培训方案评价</w:t>
            </w:r>
          </w:p>
        </w:tc>
        <w:tc>
          <w:tcPr>
            <w:tcW w:w="7219" w:type="dxa"/>
            <w:vAlign w:val="top"/>
          </w:tcPr>
          <w:p>
            <w:pPr>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投标人提供针对本项目的售后服务及培训方案。按照方案的合理性及完善程度分档计分（售后服务及培训方案应包含但不限于以下内容：质保期、服务响应时间、服务方式、服务团队、服务内容、服务计划、培训的时间及内容安排）：</w:t>
            </w:r>
          </w:p>
          <w:p>
            <w:pPr>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售后服务及培训方案先进、科学、完整、可行</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内容无瑕疵</w:t>
            </w:r>
            <w:r>
              <w:rPr>
                <w:rFonts w:hint="eastAsia" w:ascii="宋体" w:hAnsi="宋体" w:cs="宋体"/>
                <w:color w:val="auto"/>
                <w:sz w:val="24"/>
                <w:szCs w:val="24"/>
                <w:highlight w:val="none"/>
              </w:rPr>
              <w:t>：6分</w:t>
            </w:r>
          </w:p>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售后服务及培训方案科学、完整，</w:t>
            </w:r>
            <w:r>
              <w:rPr>
                <w:rFonts w:hint="eastAsia" w:ascii="宋体" w:hAnsi="宋体" w:cs="宋体"/>
                <w:color w:val="auto"/>
                <w:sz w:val="24"/>
                <w:szCs w:val="24"/>
                <w:highlight w:val="none"/>
                <w:lang w:val="en-US" w:eastAsia="zh-CN"/>
              </w:rPr>
              <w:t>但内容存在1处瑕疵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w:t>
            </w:r>
          </w:p>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售后服务及培训方案</w:t>
            </w:r>
            <w:r>
              <w:rPr>
                <w:rFonts w:hint="eastAsia" w:ascii="宋体" w:hAnsi="宋体" w:cs="宋体"/>
                <w:color w:val="auto"/>
                <w:sz w:val="24"/>
                <w:szCs w:val="24"/>
                <w:highlight w:val="none"/>
                <w:lang w:val="en-US" w:eastAsia="zh-CN"/>
              </w:rPr>
              <w:t>可行</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但内容存在2处瑕疵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w:t>
            </w:r>
          </w:p>
          <w:p>
            <w:pPr>
              <w:spacing w:after="0" w:line="400" w:lineRule="exact"/>
              <w:rPr>
                <w:rFonts w:ascii="宋体" w:hAnsi="宋体" w:eastAsia="宋体" w:cs="宋体"/>
                <w:color w:val="auto"/>
                <w:sz w:val="24"/>
                <w:szCs w:val="24"/>
                <w:highlight w:val="none"/>
                <w:lang w:val="zh-TW" w:eastAsia="zh-CN" w:bidi="ar-SA"/>
              </w:rPr>
            </w:pPr>
            <w:r>
              <w:rPr>
                <w:rFonts w:hint="eastAsia" w:ascii="宋体" w:hAnsi="宋体" w:cs="宋体"/>
                <w:color w:val="auto"/>
                <w:sz w:val="24"/>
                <w:szCs w:val="24"/>
                <w:highlight w:val="none"/>
                <w:lang w:val="en-US" w:eastAsia="zh-CN"/>
              </w:rPr>
              <w:t>内容存在3处及以上瑕疵</w:t>
            </w:r>
            <w:r>
              <w:rPr>
                <w:rFonts w:hint="eastAsia" w:ascii="宋体" w:hAnsi="宋体" w:cs="宋体"/>
                <w:color w:val="auto"/>
                <w:sz w:val="24"/>
                <w:szCs w:val="24"/>
                <w:highlight w:val="none"/>
              </w:rPr>
              <w:t>：0分</w:t>
            </w:r>
          </w:p>
        </w:tc>
        <w:tc>
          <w:tcPr>
            <w:tcW w:w="742" w:type="dxa"/>
            <w:vAlign w:val="center"/>
          </w:tcPr>
          <w:p>
            <w:pPr>
              <w:spacing w:after="0" w:line="440" w:lineRule="exact"/>
              <w:jc w:val="center"/>
              <w:rPr>
                <w:rFonts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330" w:type="dxa"/>
            <w:noWrap/>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rPr>
            </w:pPr>
            <w:r>
              <w:rPr>
                <w:rFonts w:hint="eastAsia" w:ascii="宋体" w:hAnsi="宋体" w:cs="宋体"/>
                <w:color w:val="auto"/>
                <w:sz w:val="24"/>
                <w:szCs w:val="24"/>
              </w:rPr>
              <w:t>7</w:t>
            </w:r>
          </w:p>
        </w:tc>
        <w:tc>
          <w:tcPr>
            <w:tcW w:w="1168" w:type="dxa"/>
            <w:vAlign w:val="center"/>
          </w:tcPr>
          <w:p>
            <w:pPr>
              <w:spacing w:after="0" w:line="400" w:lineRule="exact"/>
              <w:jc w:val="center"/>
              <w:rPr>
                <w:rFonts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设备安装调试组织方案评价</w:t>
            </w:r>
          </w:p>
        </w:tc>
        <w:tc>
          <w:tcPr>
            <w:tcW w:w="7219" w:type="dxa"/>
            <w:vAlign w:val="top"/>
          </w:tcPr>
          <w:p>
            <w:pPr>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设备安装调试组织方案详尽、全面；措施科学、可行；管理机构健全；能充分满足项目需要</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内容无瑕疵</w:t>
            </w:r>
            <w:r>
              <w:rPr>
                <w:rFonts w:hint="eastAsia" w:ascii="宋体" w:hAnsi="宋体" w:cs="宋体"/>
                <w:color w:val="auto"/>
                <w:sz w:val="24"/>
                <w:szCs w:val="24"/>
                <w:highlight w:val="none"/>
              </w:rPr>
              <w:t>：6分</w:t>
            </w:r>
          </w:p>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设备安装调试组织方案全面；措施可行，</w:t>
            </w:r>
            <w:r>
              <w:rPr>
                <w:rFonts w:hint="eastAsia" w:ascii="宋体" w:hAnsi="宋体" w:cs="宋体"/>
                <w:color w:val="auto"/>
                <w:sz w:val="24"/>
                <w:szCs w:val="24"/>
                <w:highlight w:val="none"/>
                <w:lang w:val="en-US" w:eastAsia="zh-CN"/>
              </w:rPr>
              <w:t>但内容存在1处瑕疵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w:t>
            </w:r>
          </w:p>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设备安装调试组织方案可行，</w:t>
            </w:r>
            <w:r>
              <w:rPr>
                <w:rFonts w:hint="eastAsia" w:ascii="宋体" w:hAnsi="宋体" w:cs="宋体"/>
                <w:color w:val="auto"/>
                <w:sz w:val="24"/>
                <w:szCs w:val="24"/>
                <w:highlight w:val="none"/>
                <w:lang w:val="en-US" w:eastAsia="zh-CN"/>
              </w:rPr>
              <w:t>但内容存在2处瑕疵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w:t>
            </w:r>
          </w:p>
          <w:p>
            <w:pPr>
              <w:spacing w:after="0" w:line="400" w:lineRule="exact"/>
              <w:rPr>
                <w:rFonts w:ascii="宋体" w:hAnsi="宋体" w:eastAsia="宋体" w:cs="宋体"/>
                <w:color w:val="auto"/>
                <w:sz w:val="24"/>
                <w:szCs w:val="24"/>
                <w:highlight w:val="none"/>
                <w:lang w:val="zh-TW" w:eastAsia="zh-TW" w:bidi="ar-SA"/>
              </w:rPr>
            </w:pPr>
            <w:r>
              <w:rPr>
                <w:rFonts w:hint="eastAsia" w:ascii="宋体" w:hAnsi="宋体" w:cs="宋体"/>
                <w:color w:val="auto"/>
                <w:sz w:val="24"/>
                <w:szCs w:val="24"/>
                <w:highlight w:val="none"/>
                <w:lang w:val="en-US" w:eastAsia="zh-CN"/>
              </w:rPr>
              <w:t>内容存在3处及以上瑕疵</w:t>
            </w:r>
            <w:r>
              <w:rPr>
                <w:rFonts w:hint="eastAsia" w:ascii="宋体" w:hAnsi="宋体" w:cs="宋体"/>
                <w:color w:val="auto"/>
                <w:sz w:val="24"/>
                <w:szCs w:val="24"/>
                <w:highlight w:val="none"/>
              </w:rPr>
              <w:t>：0分</w:t>
            </w:r>
          </w:p>
        </w:tc>
        <w:tc>
          <w:tcPr>
            <w:tcW w:w="742" w:type="dxa"/>
            <w:vAlign w:val="center"/>
          </w:tcPr>
          <w:p>
            <w:pPr>
              <w:spacing w:after="0" w:line="440" w:lineRule="exact"/>
              <w:jc w:val="center"/>
              <w:rPr>
                <w:rFonts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330" w:type="dxa"/>
            <w:noWrap/>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rPr>
            </w:pPr>
            <w:r>
              <w:rPr>
                <w:rFonts w:hint="eastAsia" w:ascii="宋体" w:hAnsi="宋体" w:cs="宋体"/>
                <w:color w:val="auto"/>
                <w:sz w:val="24"/>
                <w:szCs w:val="24"/>
              </w:rPr>
              <w:t>8</w:t>
            </w:r>
          </w:p>
        </w:tc>
        <w:tc>
          <w:tcPr>
            <w:tcW w:w="1168" w:type="dxa"/>
            <w:vAlign w:val="center"/>
          </w:tcPr>
          <w:p>
            <w:pPr>
              <w:spacing w:after="0" w:line="4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服务响应</w:t>
            </w:r>
          </w:p>
          <w:p>
            <w:pPr>
              <w:spacing w:after="0" w:line="400" w:lineRule="exact"/>
              <w:jc w:val="center"/>
              <w:rPr>
                <w:rFonts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评价</w:t>
            </w:r>
          </w:p>
        </w:tc>
        <w:tc>
          <w:tcPr>
            <w:tcW w:w="7219" w:type="dxa"/>
            <w:vAlign w:val="center"/>
          </w:tcPr>
          <w:p>
            <w:pPr>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在服务过程中，与采购人配合、沟通方案评价</w:t>
            </w:r>
          </w:p>
          <w:p>
            <w:pPr>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有专人定期与采购人沟通，配合、沟通方案详细全面</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内容无瑕疵</w:t>
            </w:r>
            <w:r>
              <w:rPr>
                <w:rFonts w:hint="eastAsia" w:ascii="宋体" w:hAnsi="宋体" w:cs="宋体"/>
                <w:color w:val="auto"/>
                <w:sz w:val="24"/>
                <w:szCs w:val="24"/>
                <w:highlight w:val="none"/>
              </w:rPr>
              <w:t>：6分</w:t>
            </w:r>
          </w:p>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有专人与采购人沟通，配合，</w:t>
            </w:r>
            <w:r>
              <w:rPr>
                <w:rFonts w:hint="eastAsia" w:ascii="宋体" w:hAnsi="宋体" w:cs="宋体"/>
                <w:color w:val="auto"/>
                <w:sz w:val="24"/>
                <w:szCs w:val="24"/>
                <w:highlight w:val="none"/>
                <w:lang w:val="en-US" w:eastAsia="zh-CN"/>
              </w:rPr>
              <w:t>但内容存在1处瑕疵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w:t>
            </w:r>
          </w:p>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rPr>
              <w:t>有专人与采购人沟通，</w:t>
            </w:r>
            <w:r>
              <w:rPr>
                <w:rFonts w:hint="eastAsia" w:ascii="宋体" w:hAnsi="宋体" w:cs="宋体"/>
                <w:color w:val="auto"/>
                <w:sz w:val="24"/>
                <w:szCs w:val="24"/>
                <w:highlight w:val="none"/>
                <w:lang w:val="en-US" w:eastAsia="zh-CN"/>
              </w:rPr>
              <w:t>但内容存在2处瑕疵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w:t>
            </w:r>
          </w:p>
          <w:p>
            <w:pPr>
              <w:spacing w:after="0" w:line="400" w:lineRule="exact"/>
              <w:rPr>
                <w:rFonts w:ascii="宋体" w:hAnsi="宋体" w:eastAsia="宋体" w:cs="宋体"/>
                <w:color w:val="auto"/>
                <w:sz w:val="22"/>
                <w:szCs w:val="22"/>
                <w:highlight w:val="none"/>
                <w:lang w:val="zh-TW" w:eastAsia="zh-TW" w:bidi="ar-SA"/>
              </w:rPr>
            </w:pPr>
            <w:r>
              <w:rPr>
                <w:rFonts w:hint="eastAsia" w:ascii="宋体" w:hAnsi="宋体" w:cs="宋体"/>
                <w:color w:val="auto"/>
                <w:sz w:val="24"/>
                <w:szCs w:val="24"/>
                <w:highlight w:val="none"/>
                <w:lang w:val="en-US" w:eastAsia="zh-CN"/>
              </w:rPr>
              <w:t>内容存在3处及以上瑕疵</w:t>
            </w:r>
            <w:r>
              <w:rPr>
                <w:rFonts w:hint="eastAsia" w:ascii="宋体" w:hAnsi="宋体" w:cs="宋体"/>
                <w:color w:val="auto"/>
                <w:sz w:val="24"/>
                <w:szCs w:val="24"/>
                <w:highlight w:val="none"/>
              </w:rPr>
              <w:t>：0分</w:t>
            </w:r>
          </w:p>
        </w:tc>
        <w:tc>
          <w:tcPr>
            <w:tcW w:w="742" w:type="dxa"/>
            <w:vAlign w:val="center"/>
          </w:tcPr>
          <w:p>
            <w:pPr>
              <w:snapToGrid w:val="0"/>
              <w:spacing w:after="0" w:line="440" w:lineRule="exact"/>
              <w:jc w:val="center"/>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330" w:type="dxa"/>
            <w:noWrap/>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p>
        </w:tc>
        <w:tc>
          <w:tcPr>
            <w:tcW w:w="1168" w:type="dxa"/>
            <w:vAlign w:val="center"/>
          </w:tcPr>
          <w:p>
            <w:pPr>
              <w:spacing w:after="0" w:line="400" w:lineRule="exact"/>
              <w:jc w:val="center"/>
              <w:rPr>
                <w:rFonts w:ascii="宋体" w:hAnsi="宋体" w:eastAsia="宋体" w:cs="宋体"/>
                <w:color w:val="auto"/>
                <w:sz w:val="24"/>
                <w:szCs w:val="24"/>
                <w:highlight w:val="none"/>
                <w:lang w:val="en-US" w:eastAsia="zh-CN" w:bidi="ar-SA"/>
              </w:rPr>
            </w:pPr>
            <w:r>
              <w:rPr>
                <w:rFonts w:hint="eastAsia" w:ascii="宋体" w:hAnsi="宋体"/>
                <w:color w:val="auto"/>
                <w:sz w:val="24"/>
                <w:szCs w:val="24"/>
                <w:highlight w:val="none"/>
                <w:lang w:val="zh-TW"/>
              </w:rPr>
              <w:t>应急预案</w:t>
            </w:r>
            <w:r>
              <w:rPr>
                <w:rFonts w:hint="eastAsia" w:ascii="宋体" w:hAnsi="宋体"/>
                <w:color w:val="auto"/>
                <w:sz w:val="24"/>
                <w:szCs w:val="24"/>
                <w:highlight w:val="none"/>
              </w:rPr>
              <w:t>评价</w:t>
            </w:r>
          </w:p>
        </w:tc>
        <w:tc>
          <w:tcPr>
            <w:tcW w:w="7219" w:type="dxa"/>
            <w:vAlign w:val="center"/>
          </w:tcPr>
          <w:p>
            <w:pPr>
              <w:spacing w:after="0" w:line="400" w:lineRule="exact"/>
              <w:rPr>
                <w:rFonts w:ascii="宋体" w:hAnsi="宋体" w:cs="宋体"/>
                <w:color w:val="auto"/>
                <w:sz w:val="24"/>
                <w:szCs w:val="24"/>
                <w:highlight w:val="none"/>
                <w:lang w:val="zh-TW"/>
              </w:rPr>
            </w:pPr>
            <w:r>
              <w:rPr>
                <w:rFonts w:hint="eastAsia" w:ascii="宋体" w:hAnsi="宋体" w:cs="宋体"/>
                <w:color w:val="auto"/>
                <w:sz w:val="24"/>
                <w:szCs w:val="24"/>
                <w:highlight w:val="none"/>
                <w:lang w:val="zh-TW"/>
              </w:rPr>
              <w:t>包含对现场可能出现的所有问题的预判及对应的处理方式，处理方式应具有较强针对性和适用性</w:t>
            </w:r>
          </w:p>
          <w:p>
            <w:pPr>
              <w:spacing w:after="0" w:line="400" w:lineRule="exact"/>
              <w:rPr>
                <w:rFonts w:ascii="宋体" w:hAnsi="宋体" w:cs="宋体"/>
                <w:color w:val="auto"/>
                <w:sz w:val="24"/>
                <w:szCs w:val="24"/>
                <w:highlight w:val="none"/>
                <w:lang w:val="zh-TW"/>
              </w:rPr>
            </w:pPr>
            <w:r>
              <w:rPr>
                <w:rFonts w:hint="eastAsia" w:ascii="宋体" w:hAnsi="宋体" w:cs="宋体"/>
                <w:color w:val="auto"/>
                <w:sz w:val="24"/>
                <w:szCs w:val="24"/>
                <w:highlight w:val="none"/>
                <w:lang w:val="zh-TW"/>
              </w:rPr>
              <w:t>对比各投标文件：根据以上因素针对本项目的应急服务预案。</w:t>
            </w:r>
          </w:p>
          <w:p>
            <w:pPr>
              <w:spacing w:after="0" w:line="400" w:lineRule="exact"/>
              <w:rPr>
                <w:rFonts w:ascii="宋体" w:hAnsi="宋体" w:cs="宋体"/>
                <w:color w:val="auto"/>
                <w:sz w:val="24"/>
                <w:szCs w:val="24"/>
                <w:highlight w:val="none"/>
                <w:lang w:val="zh-TW"/>
              </w:rPr>
            </w:pPr>
            <w:r>
              <w:rPr>
                <w:rFonts w:hint="eastAsia" w:ascii="宋体" w:hAnsi="宋体" w:cs="宋体"/>
                <w:color w:val="auto"/>
                <w:sz w:val="24"/>
                <w:szCs w:val="24"/>
                <w:highlight w:val="none"/>
                <w:lang w:val="zh-TW"/>
              </w:rPr>
              <w:t>应急服务预案</w:t>
            </w:r>
            <w:r>
              <w:rPr>
                <w:rFonts w:hint="eastAsia" w:ascii="宋体" w:hAnsi="宋体" w:cs="宋体"/>
                <w:color w:val="auto"/>
                <w:sz w:val="24"/>
                <w:szCs w:val="24"/>
                <w:highlight w:val="none"/>
              </w:rPr>
              <w:t>详细完整</w:t>
            </w:r>
            <w:r>
              <w:rPr>
                <w:rFonts w:hint="eastAsia" w:ascii="宋体" w:hAnsi="宋体" w:cs="宋体"/>
                <w:color w:val="auto"/>
                <w:sz w:val="24"/>
                <w:szCs w:val="24"/>
                <w:highlight w:val="none"/>
                <w:lang w:val="zh-TW"/>
              </w:rPr>
              <w:t>、针对性强、适用性强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内容无瑕疵</w:t>
            </w:r>
            <w:r>
              <w:rPr>
                <w:rFonts w:hint="eastAsia" w:ascii="宋体" w:hAnsi="宋体" w:cs="宋体"/>
                <w:color w:val="auto"/>
                <w:sz w:val="24"/>
                <w:szCs w:val="24"/>
                <w:highlight w:val="none"/>
                <w:lang w:val="zh-TW"/>
              </w:rPr>
              <w:t>：</w:t>
            </w:r>
            <w:r>
              <w:rPr>
                <w:rFonts w:hint="eastAsia" w:ascii="宋体" w:hAnsi="宋体" w:cs="宋体"/>
                <w:color w:val="auto"/>
                <w:sz w:val="24"/>
                <w:szCs w:val="24"/>
                <w:highlight w:val="none"/>
              </w:rPr>
              <w:t>6</w:t>
            </w:r>
            <w:r>
              <w:rPr>
                <w:rFonts w:hint="eastAsia" w:ascii="宋体" w:hAnsi="宋体" w:cs="宋体"/>
                <w:color w:val="auto"/>
                <w:sz w:val="24"/>
                <w:szCs w:val="24"/>
                <w:highlight w:val="none"/>
                <w:lang w:val="zh-TW"/>
              </w:rPr>
              <w:t>分</w:t>
            </w:r>
          </w:p>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lang w:val="zh-TW"/>
              </w:rPr>
              <w:t>应急服务预案</w:t>
            </w:r>
            <w:r>
              <w:rPr>
                <w:rFonts w:hint="eastAsia" w:ascii="宋体" w:hAnsi="宋体" w:cs="宋体"/>
                <w:color w:val="auto"/>
                <w:sz w:val="24"/>
                <w:szCs w:val="24"/>
                <w:highlight w:val="none"/>
              </w:rPr>
              <w:t>详细完整</w:t>
            </w:r>
            <w:r>
              <w:rPr>
                <w:rFonts w:hint="eastAsia" w:ascii="宋体" w:hAnsi="宋体" w:cs="宋体"/>
                <w:color w:val="auto"/>
                <w:sz w:val="24"/>
                <w:szCs w:val="24"/>
                <w:highlight w:val="none"/>
                <w:lang w:val="zh-TW"/>
              </w:rPr>
              <w:t>、针对性强</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但内容存在1处瑕疵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w:t>
            </w:r>
          </w:p>
          <w:p>
            <w:pPr>
              <w:snapToGrid w:val="0"/>
              <w:spacing w:after="0" w:line="400" w:lineRule="exact"/>
              <w:rPr>
                <w:rFonts w:ascii="宋体" w:hAnsi="宋体" w:cs="宋体"/>
                <w:color w:val="auto"/>
                <w:sz w:val="24"/>
                <w:szCs w:val="24"/>
                <w:highlight w:val="none"/>
              </w:rPr>
            </w:pPr>
            <w:r>
              <w:rPr>
                <w:rFonts w:hint="eastAsia" w:ascii="宋体" w:hAnsi="宋体" w:cs="宋体"/>
                <w:color w:val="auto"/>
                <w:sz w:val="24"/>
                <w:szCs w:val="24"/>
                <w:highlight w:val="none"/>
                <w:lang w:val="zh-TW"/>
              </w:rPr>
              <w:t>应急服务预案</w:t>
            </w:r>
            <w:r>
              <w:rPr>
                <w:rFonts w:hint="eastAsia" w:ascii="宋体" w:hAnsi="宋体" w:cs="宋体"/>
                <w:color w:val="auto"/>
                <w:sz w:val="24"/>
                <w:szCs w:val="24"/>
                <w:highlight w:val="none"/>
              </w:rPr>
              <w:t>详细完整</w:t>
            </w:r>
            <w:r>
              <w:rPr>
                <w:rFonts w:hint="eastAsia" w:ascii="宋体" w:hAnsi="宋体" w:cs="宋体"/>
                <w:color w:val="auto"/>
                <w:sz w:val="24"/>
                <w:szCs w:val="24"/>
                <w:highlight w:val="none"/>
                <w:lang w:val="zh-TW" w:eastAsia="zh-CN"/>
              </w:rPr>
              <w:t>，</w:t>
            </w:r>
            <w:r>
              <w:rPr>
                <w:rFonts w:hint="eastAsia" w:ascii="宋体" w:hAnsi="宋体" w:cs="宋体"/>
                <w:color w:val="auto"/>
                <w:sz w:val="24"/>
                <w:szCs w:val="24"/>
                <w:highlight w:val="none"/>
                <w:lang w:val="en-US" w:eastAsia="zh-CN"/>
              </w:rPr>
              <w:t>但内容存在2处瑕疵</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w:t>
            </w:r>
          </w:p>
          <w:p>
            <w:pPr>
              <w:spacing w:after="0" w:line="400" w:lineRule="exact"/>
              <w:rPr>
                <w:rFonts w:ascii="宋体" w:hAnsi="宋体" w:eastAsia="宋体" w:cs="宋体"/>
                <w:color w:val="auto"/>
                <w:sz w:val="24"/>
                <w:szCs w:val="24"/>
                <w:highlight w:val="none"/>
                <w:lang w:val="zh-TW" w:eastAsia="zh-TW" w:bidi="ar-SA"/>
              </w:rPr>
            </w:pPr>
            <w:r>
              <w:rPr>
                <w:rFonts w:hint="eastAsia" w:ascii="宋体" w:hAnsi="宋体" w:cs="宋体"/>
                <w:color w:val="auto"/>
                <w:sz w:val="24"/>
                <w:szCs w:val="24"/>
                <w:highlight w:val="none"/>
                <w:lang w:val="en-US" w:eastAsia="zh-CN"/>
              </w:rPr>
              <w:t>内容存在3处及以上瑕疵</w:t>
            </w:r>
            <w:r>
              <w:rPr>
                <w:rFonts w:hint="eastAsia" w:ascii="宋体" w:hAnsi="宋体" w:cs="宋体"/>
                <w:color w:val="auto"/>
                <w:sz w:val="24"/>
                <w:szCs w:val="24"/>
                <w:highlight w:val="none"/>
                <w:lang w:val="zh-TW"/>
              </w:rPr>
              <w:t>：0分</w:t>
            </w:r>
          </w:p>
        </w:tc>
        <w:tc>
          <w:tcPr>
            <w:tcW w:w="742" w:type="dxa"/>
            <w:vAlign w:val="center"/>
          </w:tcPr>
          <w:p>
            <w:pPr>
              <w:snapToGrid w:val="0"/>
              <w:spacing w:after="0" w:line="440" w:lineRule="exact"/>
              <w:jc w:val="center"/>
              <w:rPr>
                <w:rFonts w:hint="eastAsia"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717" w:type="dxa"/>
            <w:gridSpan w:val="3"/>
            <w:noWrap/>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rPr>
            </w:pPr>
            <w:r>
              <w:rPr>
                <w:rFonts w:hint="eastAsia" w:ascii="宋体" w:hAnsi="宋体" w:cs="宋体"/>
                <w:color w:val="auto"/>
                <w:sz w:val="24"/>
                <w:szCs w:val="24"/>
              </w:rPr>
              <w:t>合计</w:t>
            </w:r>
          </w:p>
        </w:tc>
        <w:tc>
          <w:tcPr>
            <w:tcW w:w="742" w:type="dxa"/>
            <w:vAlign w:val="center"/>
          </w:tcPr>
          <w:p>
            <w:pPr>
              <w:keepNext w:val="0"/>
              <w:keepLines w:val="0"/>
              <w:pageBreakBefore w:val="0"/>
              <w:widowControl/>
              <w:kinsoku/>
              <w:wordWrap/>
              <w:overflowPunct/>
              <w:topLinePunct w:val="0"/>
              <w:autoSpaceDE/>
              <w:autoSpaceDN/>
              <w:bidi w:val="0"/>
              <w:adjustRightInd/>
              <w:spacing w:after="0" w:line="440" w:lineRule="exact"/>
              <w:jc w:val="center"/>
              <w:textAlignment w:val="auto"/>
              <w:rPr>
                <w:rFonts w:ascii="宋体" w:hAnsi="宋体" w:cs="宋体"/>
                <w:color w:val="auto"/>
                <w:sz w:val="24"/>
                <w:szCs w:val="24"/>
              </w:rPr>
            </w:pPr>
            <w:r>
              <w:rPr>
                <w:rFonts w:hint="eastAsia" w:ascii="宋体" w:hAnsi="宋体" w:cs="宋体"/>
                <w:color w:val="auto"/>
                <w:sz w:val="24"/>
                <w:szCs w:val="24"/>
              </w:rPr>
              <w:t>100</w:t>
            </w:r>
          </w:p>
        </w:tc>
      </w:tr>
    </w:tbl>
    <w:p>
      <w:pPr>
        <w:spacing w:after="0" w:line="520" w:lineRule="exact"/>
        <w:rPr>
          <w:rFonts w:ascii="宋体" w:hAnsi="宋体" w:cs="宋体"/>
          <w:color w:val="auto"/>
          <w:sz w:val="24"/>
          <w:szCs w:val="24"/>
        </w:rPr>
      </w:pPr>
      <w:bookmarkStart w:id="7" w:name="_Toc515196726"/>
      <w:r>
        <w:rPr>
          <w:rFonts w:hint="eastAsia" w:ascii="宋体" w:hAnsi="宋体" w:cs="宋体"/>
          <w:color w:val="auto"/>
          <w:sz w:val="24"/>
          <w:szCs w:val="24"/>
        </w:rPr>
        <w:t>五、投标文件内容要求</w:t>
      </w:r>
      <w:bookmarkEnd w:id="7"/>
      <w:r>
        <w:rPr>
          <w:rFonts w:hint="eastAsia" w:ascii="宋体" w:hAnsi="宋体" w:cs="宋体"/>
          <w:color w:val="auto"/>
          <w:sz w:val="24"/>
          <w:szCs w:val="24"/>
        </w:rPr>
        <w:t>：</w:t>
      </w:r>
    </w:p>
    <w:p>
      <w:pPr>
        <w:spacing w:after="0" w:line="520" w:lineRule="exact"/>
        <w:rPr>
          <w:rFonts w:ascii="宋体" w:hAnsi="宋体" w:cs="宋体"/>
          <w:color w:val="auto"/>
          <w:sz w:val="24"/>
          <w:szCs w:val="24"/>
        </w:rPr>
      </w:pPr>
      <w:bookmarkStart w:id="8" w:name="_Toc515196727"/>
      <w:r>
        <w:rPr>
          <w:rFonts w:hint="eastAsia" w:ascii="宋体" w:hAnsi="宋体" w:cs="宋体"/>
          <w:color w:val="auto"/>
          <w:sz w:val="24"/>
          <w:szCs w:val="24"/>
        </w:rPr>
        <w:t>（一）</w:t>
      </w:r>
      <w:r>
        <w:rPr>
          <w:rFonts w:hint="eastAsia" w:ascii="宋体" w:hAnsi="宋体" w:cs="宋体"/>
          <w:color w:val="auto"/>
          <w:sz w:val="24"/>
          <w:szCs w:val="24"/>
          <w:lang w:eastAsia="zh-CN"/>
        </w:rPr>
        <w:t>供应商</w:t>
      </w:r>
      <w:r>
        <w:rPr>
          <w:rFonts w:hint="eastAsia" w:ascii="宋体" w:hAnsi="宋体" w:cs="宋体"/>
          <w:color w:val="auto"/>
          <w:sz w:val="24"/>
          <w:szCs w:val="24"/>
        </w:rPr>
        <w:t>须按照《投标须知》“C 投标文件的编制”中的相关要求编制投标文件。</w:t>
      </w:r>
      <w:bookmarkEnd w:id="8"/>
    </w:p>
    <w:p>
      <w:pPr>
        <w:spacing w:after="0" w:line="520" w:lineRule="exact"/>
        <w:rPr>
          <w:rFonts w:ascii="宋体" w:hAnsi="宋体" w:cs="宋体"/>
          <w:color w:val="auto"/>
          <w:sz w:val="24"/>
          <w:szCs w:val="24"/>
        </w:rPr>
      </w:pPr>
      <w:bookmarkStart w:id="9" w:name="_Toc515196728"/>
      <w:r>
        <w:rPr>
          <w:rFonts w:hint="eastAsia" w:ascii="宋体" w:hAnsi="宋体" w:cs="宋体"/>
          <w:color w:val="auto"/>
          <w:sz w:val="24"/>
          <w:szCs w:val="24"/>
        </w:rPr>
        <w:t>（二）投标文件格式参照第五部分“投标文件格式”。</w:t>
      </w:r>
      <w:bookmarkEnd w:id="9"/>
    </w:p>
    <w:p>
      <w:pPr>
        <w:spacing w:after="0" w:line="520" w:lineRule="exact"/>
        <w:rPr>
          <w:rFonts w:ascii="宋体" w:hAnsi="宋体" w:cs="宋体"/>
          <w:color w:val="auto"/>
          <w:sz w:val="24"/>
          <w:szCs w:val="24"/>
        </w:rPr>
      </w:pPr>
      <w:r>
        <w:rPr>
          <w:rFonts w:hint="eastAsia" w:ascii="宋体" w:hAnsi="宋体" w:cs="宋体"/>
          <w:color w:val="auto"/>
          <w:sz w:val="24"/>
          <w:szCs w:val="24"/>
        </w:rPr>
        <w:t>六、招投标程序</w:t>
      </w:r>
    </w:p>
    <w:p>
      <w:pPr>
        <w:spacing w:after="0" w:line="520" w:lineRule="exact"/>
        <w:ind w:firstLine="224" w:firstLineChars="98"/>
        <w:rPr>
          <w:rFonts w:ascii="宋体" w:hAnsi="宋体" w:cs="宋体"/>
          <w:color w:val="auto"/>
        </w:rPr>
      </w:pPr>
      <w:r>
        <w:rPr>
          <w:rFonts w:hint="eastAsia" w:ascii="宋体" w:hAnsi="宋体" w:cs="宋体"/>
          <w:color w:val="auto"/>
          <w:sz w:val="24"/>
          <w:szCs w:val="24"/>
        </w:rPr>
        <w:t>1.参加人员及要求</w:t>
      </w:r>
    </w:p>
    <w:p>
      <w:pPr>
        <w:spacing w:after="0" w:line="520" w:lineRule="exact"/>
        <w:rPr>
          <w:rFonts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w:t>
      </w:r>
      <w:r>
        <w:rPr>
          <w:rFonts w:hint="eastAsia" w:ascii="宋体" w:hAnsi="宋体" w:cs="宋体"/>
          <w:color w:val="auto"/>
          <w:sz w:val="24"/>
          <w:szCs w:val="24"/>
        </w:rPr>
        <w:t>供应商须由法定代表人或其授权的本单位正式员工作为委托代理人参加投标，随时准备对评审小组的询问予以解答。并于递交</w:t>
      </w:r>
      <w:r>
        <w:rPr>
          <w:rFonts w:hint="eastAsia" w:ascii="宋体" w:hAnsi="宋体" w:cs="宋体"/>
          <w:color w:val="auto"/>
          <w:sz w:val="24"/>
          <w:szCs w:val="24"/>
          <w:lang w:val="en-US" w:eastAsia="zh-CN"/>
        </w:rPr>
        <w:t>投标</w:t>
      </w:r>
      <w:r>
        <w:rPr>
          <w:rFonts w:hint="eastAsia" w:ascii="宋体" w:hAnsi="宋体" w:cs="宋体"/>
          <w:color w:val="auto"/>
          <w:sz w:val="24"/>
          <w:szCs w:val="24"/>
        </w:rPr>
        <w:t>文件时提供由法定代表人签章授权书的原件，该代理人在委托书上应标明有效联系方式，该方式从评审到合同履行结束有效。</w:t>
      </w:r>
    </w:p>
    <w:p>
      <w:pPr>
        <w:spacing w:after="0" w:line="520" w:lineRule="exact"/>
        <w:rPr>
          <w:rFonts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cs="宋体"/>
          <w:color w:val="auto"/>
          <w:sz w:val="24"/>
          <w:szCs w:val="24"/>
        </w:rPr>
        <w:t>法定代表人或其代理人参加投标仪式时，须携带身份证或其他与法定代表人或其代理人身份相符的有效证件原件，以备查验。</w:t>
      </w:r>
    </w:p>
    <w:p>
      <w:pPr>
        <w:spacing w:after="0" w:line="520" w:lineRule="exact"/>
        <w:ind w:firstLine="112" w:firstLineChars="49"/>
        <w:rPr>
          <w:rFonts w:ascii="宋体" w:hAnsi="宋体" w:cs="宋体"/>
          <w:color w:val="auto"/>
          <w:sz w:val="24"/>
          <w:szCs w:val="24"/>
        </w:rPr>
      </w:pPr>
      <w:r>
        <w:rPr>
          <w:rFonts w:hint="eastAsia" w:ascii="宋体" w:hAnsi="宋体" w:cs="宋体"/>
          <w:color w:val="auto"/>
          <w:sz w:val="24"/>
          <w:szCs w:val="24"/>
        </w:rPr>
        <w:t>2.购买招标文件</w:t>
      </w:r>
    </w:p>
    <w:p>
      <w:pPr>
        <w:spacing w:after="0" w:line="520" w:lineRule="exact"/>
        <w:ind w:firstLine="452" w:firstLineChars="198"/>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应在招标公告发布后到天津晟辰工程造价咨询有限公司（天津市南开区红旗路208号乐谷商务中心A座10层）购买招标文件。</w:t>
      </w:r>
    </w:p>
    <w:p>
      <w:pPr>
        <w:spacing w:after="0" w:line="520" w:lineRule="exact"/>
        <w:ind w:firstLine="112" w:firstLineChars="49"/>
        <w:rPr>
          <w:rFonts w:ascii="宋体" w:hAnsi="宋体" w:cs="宋体"/>
          <w:color w:val="auto"/>
          <w:sz w:val="24"/>
          <w:szCs w:val="24"/>
        </w:rPr>
      </w:pPr>
      <w:r>
        <w:rPr>
          <w:rFonts w:hint="eastAsia" w:ascii="宋体" w:hAnsi="宋体" w:cs="宋体"/>
          <w:color w:val="auto"/>
          <w:sz w:val="24"/>
          <w:szCs w:val="24"/>
        </w:rPr>
        <w:t>3.纸质投标文件的递交</w:t>
      </w:r>
    </w:p>
    <w:p>
      <w:pPr>
        <w:spacing w:after="0" w:line="520" w:lineRule="exact"/>
        <w:ind w:firstLine="456" w:firstLineChars="200"/>
        <w:rPr>
          <w:rFonts w:hint="eastAsia" w:ascii="宋体" w:hAnsi="宋体" w:eastAsia="宋体" w:cs="宋体"/>
          <w:color w:val="auto"/>
          <w:sz w:val="24"/>
          <w:szCs w:val="24"/>
        </w:rPr>
        <w:sectPr>
          <w:headerReference r:id="rId8" w:type="first"/>
          <w:footerReference r:id="rId10" w:type="first"/>
          <w:footerReference r:id="rId9" w:type="default"/>
          <w:pgSz w:w="11906" w:h="16838"/>
          <w:pgMar w:top="1440" w:right="1587" w:bottom="1440" w:left="1587" w:header="851" w:footer="567" w:gutter="0"/>
          <w:pgNumType w:fmt="decimal"/>
          <w:cols w:space="0" w:num="1"/>
          <w:titlePg/>
          <w:docGrid w:type="linesAndChars" w:linePitch="319" w:charSpace="-2499"/>
        </w:sectPr>
      </w:pPr>
      <w:r>
        <w:rPr>
          <w:rFonts w:hint="eastAsia" w:ascii="宋体" w:hAnsi="宋体" w:eastAsia="宋体" w:cs="宋体"/>
          <w:color w:val="auto"/>
          <w:sz w:val="24"/>
          <w:szCs w:val="24"/>
        </w:rPr>
        <w:t>按照规定的时间，</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须携带纸质投标文件、电子版文件到天津晟辰工程造价咨询有限公司接受审查。同一</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（包括总分公司、存在控股关系公司等）针对本项目有且仅能递交一份投标文件。对于同一</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（包括总分公司、存在控股关系公司等）针对本项目递交多份投标文件的情况，该</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须在本项目递交投标文件截止时间前，以书面形式（须加盖独立法人公司公章及法定代表人章）确认唯一有效的投标文件。未在本项目递交投标文件截止时间前按上述规定书面确认的，代理机构（天津晟辰工程造价咨询有限公司）将拒绝接收该</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针对本项目的所有投标文件。因此引起的风险及责任由</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自行承担。</w:t>
      </w:r>
    </w:p>
    <w:p>
      <w:pPr>
        <w:jc w:val="center"/>
        <w:rPr>
          <w:rFonts w:ascii="宋体" w:hAnsi="宋体" w:cs="宋体"/>
          <w:b/>
          <w:color w:val="auto"/>
          <w:sz w:val="24"/>
          <w:szCs w:val="24"/>
        </w:rPr>
      </w:pPr>
      <w:r>
        <w:rPr>
          <w:rFonts w:hint="eastAsia" w:ascii="宋体" w:hAnsi="宋体" w:cs="宋体"/>
          <w:b/>
          <w:color w:val="auto"/>
          <w:sz w:val="24"/>
          <w:szCs w:val="24"/>
        </w:rPr>
        <w:t>项目需求书</w:t>
      </w:r>
    </w:p>
    <w:p>
      <w:pPr>
        <w:keepNext w:val="0"/>
        <w:keepLines w:val="0"/>
        <w:pageBreakBefore w:val="0"/>
        <w:widowControl w:val="0"/>
        <w:numPr>
          <w:ilvl w:val="0"/>
          <w:numId w:val="3"/>
        </w:numPr>
        <w:kinsoku/>
        <w:wordWrap/>
        <w:overflowPunct/>
        <w:topLinePunct w:val="0"/>
        <w:autoSpaceDE/>
        <w:autoSpaceDN/>
        <w:bidi w:val="0"/>
        <w:adjustRightInd/>
        <w:snapToGrid/>
        <w:spacing w:after="0" w:line="480" w:lineRule="exact"/>
        <w:jc w:val="both"/>
        <w:textAlignment w:val="auto"/>
        <w:rPr>
          <w:rFonts w:ascii="宋体" w:hAnsi="宋体" w:cs="宋体"/>
          <w:b/>
          <w:bCs/>
          <w:color w:val="auto"/>
          <w:sz w:val="24"/>
          <w:szCs w:val="24"/>
        </w:rPr>
      </w:pPr>
      <w:r>
        <w:rPr>
          <w:rFonts w:hint="eastAsia" w:ascii="宋体" w:hAnsi="宋体" w:cs="宋体"/>
          <w:b/>
          <w:bCs/>
          <w:color w:val="auto"/>
          <w:kern w:val="2"/>
          <w:sz w:val="24"/>
          <w:szCs w:val="24"/>
        </w:rPr>
        <w:t>项目背景</w:t>
      </w:r>
    </w:p>
    <w:p>
      <w:pPr>
        <w:keepNext w:val="0"/>
        <w:keepLines w:val="0"/>
        <w:pageBreakBefore w:val="0"/>
        <w:kinsoku/>
        <w:wordWrap/>
        <w:overflowPunct/>
        <w:topLinePunct w:val="0"/>
        <w:autoSpaceDE/>
        <w:autoSpaceDN/>
        <w:bidi w:val="0"/>
        <w:adjustRightInd/>
        <w:snapToGrid/>
        <w:spacing w:after="0" w:line="360" w:lineRule="auto"/>
        <w:ind w:firstLine="456" w:firstLineChars="200"/>
        <w:textAlignment w:val="auto"/>
        <w:rPr>
          <w:rFonts w:hint="eastAsia" w:ascii="宋体" w:hAnsi="宋体" w:eastAsia="宋体" w:cs="宋体"/>
          <w:color w:val="auto"/>
          <w:sz w:val="32"/>
          <w:szCs w:val="32"/>
        </w:rPr>
      </w:pPr>
      <w:r>
        <w:rPr>
          <w:rFonts w:hint="eastAsia" w:ascii="宋体" w:hAnsi="宋体" w:cs="宋体"/>
          <w:color w:val="auto"/>
          <w:sz w:val="24"/>
          <w:szCs w:val="24"/>
          <w:highlight w:val="none"/>
          <w:lang w:val="en-US" w:eastAsia="zh-CN"/>
        </w:rPr>
        <w:t>天然产物及动物细胞提取液的成分复杂，天然产物涉及的种类众多且关键成分含量较低，各种次生代谢物的化学性质及浓度动态范围差别巨大，很多代谢物对金属敏感，导致现有技术无法检出。</w:t>
      </w:r>
    </w:p>
    <w:p>
      <w:pPr>
        <w:pStyle w:val="2"/>
        <w:numPr>
          <w:ilvl w:val="0"/>
          <w:numId w:val="0"/>
        </w:numPr>
        <w:rPr>
          <w:rFonts w:hint="default" w:ascii="宋体" w:hAnsi="宋体" w:eastAsia="宋体" w:cs="宋体"/>
          <w:color w:val="auto"/>
          <w:sz w:val="24"/>
          <w:szCs w:val="24"/>
          <w:lang w:val="en-US" w:eastAsia="zh-CN" w:bidi="ar-SA"/>
        </w:rPr>
      </w:pPr>
      <w:r>
        <w:rPr>
          <w:rFonts w:hint="eastAsia" w:ascii="宋体" w:hAnsi="宋体" w:eastAsia="宋体" w:cs="宋体"/>
          <w:b/>
          <w:bCs/>
          <w:color w:val="auto"/>
          <w:sz w:val="24"/>
          <w:szCs w:val="24"/>
          <w:lang w:val="en-US" w:eastAsia="zh-CN" w:bidi="ar-SA"/>
        </w:rPr>
        <w:t xml:space="preserve">二、技术要求 </w:t>
      </w:r>
    </w:p>
    <w:tbl>
      <w:tblPr>
        <w:tblStyle w:val="30"/>
        <w:tblW w:w="48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1143"/>
        <w:gridCol w:w="5867"/>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pct"/>
            <w:vAlign w:val="center"/>
          </w:tcPr>
          <w:p>
            <w:pPr>
              <w:keepLines w:val="0"/>
              <w:widowControl/>
              <w:snapToGrid/>
              <w:spacing w:before="0" w:beforeAutospacing="0" w:after="0" w:afterAutospacing="0" w:line="400" w:lineRule="exact"/>
              <w:jc w:val="center"/>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序号</w:t>
            </w:r>
          </w:p>
        </w:tc>
        <w:tc>
          <w:tcPr>
            <w:tcW w:w="670" w:type="pct"/>
            <w:vAlign w:val="center"/>
          </w:tcPr>
          <w:p>
            <w:pPr>
              <w:keepLines w:val="0"/>
              <w:widowControl/>
              <w:snapToGrid/>
              <w:spacing w:before="0" w:beforeAutospacing="0" w:after="0" w:afterAutospacing="0" w:line="400" w:lineRule="exact"/>
              <w:jc w:val="center"/>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名称</w:t>
            </w:r>
          </w:p>
        </w:tc>
        <w:tc>
          <w:tcPr>
            <w:tcW w:w="3440" w:type="pct"/>
            <w:vAlign w:val="center"/>
          </w:tcPr>
          <w:p>
            <w:pPr>
              <w:keepLines w:val="0"/>
              <w:widowControl/>
              <w:snapToGrid/>
              <w:spacing w:before="0" w:beforeAutospacing="0" w:after="0" w:afterAutospacing="0" w:line="400" w:lineRule="exact"/>
              <w:jc w:val="center"/>
              <w:textAlignment w:val="baseline"/>
              <w:rPr>
                <w:rFonts w:hint="default" w:ascii="宋体" w:hAnsi="宋体" w:eastAsia="宋体" w:cs="宋体"/>
                <w:b w:val="0"/>
                <w:i w:val="0"/>
                <w:caps w:val="0"/>
                <w:color w:val="auto"/>
                <w:spacing w:val="0"/>
                <w:w w:val="100"/>
                <w:sz w:val="24"/>
                <w:szCs w:val="24"/>
                <w:lang w:val="en-US" w:eastAsia="zh-CN"/>
              </w:rPr>
            </w:pPr>
            <w:r>
              <w:rPr>
                <w:rFonts w:hint="eastAsia" w:ascii="宋体" w:hAnsi="宋体" w:eastAsia="宋体" w:cs="宋体"/>
                <w:b w:val="0"/>
                <w:i w:val="0"/>
                <w:caps w:val="0"/>
                <w:color w:val="auto"/>
                <w:spacing w:val="0"/>
                <w:w w:val="100"/>
                <w:sz w:val="24"/>
                <w:szCs w:val="24"/>
              </w:rPr>
              <w:t>技术要求</w:t>
            </w:r>
          </w:p>
        </w:tc>
        <w:tc>
          <w:tcPr>
            <w:tcW w:w="418" w:type="pct"/>
            <w:vAlign w:val="center"/>
          </w:tcPr>
          <w:p>
            <w:pPr>
              <w:keepLines w:val="0"/>
              <w:widowControl/>
              <w:snapToGrid/>
              <w:spacing w:before="0" w:beforeAutospacing="0" w:after="0" w:afterAutospacing="0" w:line="400" w:lineRule="exact"/>
              <w:jc w:val="center"/>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1" w:type="pct"/>
            <w:vAlign w:val="center"/>
          </w:tcPr>
          <w:p>
            <w:pPr>
              <w:keepLines w:val="0"/>
              <w:widowControl/>
              <w:snapToGrid/>
              <w:spacing w:before="0" w:beforeAutospacing="0" w:after="0" w:afterAutospacing="0" w:line="400" w:lineRule="exact"/>
              <w:jc w:val="center"/>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w:t>
            </w:r>
          </w:p>
        </w:tc>
        <w:tc>
          <w:tcPr>
            <w:tcW w:w="670" w:type="pct"/>
            <w:vAlign w:val="center"/>
          </w:tcPr>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b w:val="0"/>
                <w:i w:val="0"/>
                <w:caps w:val="0"/>
                <w:color w:val="auto"/>
                <w:spacing w:val="0"/>
                <w:w w:val="100"/>
                <w:sz w:val="24"/>
              </w:rPr>
              <w:t>▲</w:t>
            </w:r>
            <w:r>
              <w:rPr>
                <w:rFonts w:hint="eastAsia" w:ascii="宋体" w:hAnsi="宋体" w:eastAsia="宋体" w:cs="宋体"/>
                <w:b w:val="0"/>
                <w:i w:val="0"/>
                <w:caps w:val="0"/>
                <w:color w:val="auto"/>
                <w:spacing w:val="0"/>
                <w:w w:val="100"/>
                <w:kern w:val="0"/>
                <w:sz w:val="24"/>
                <w:szCs w:val="24"/>
              </w:rPr>
              <w:t>超高效液相色谱-串联四级杆质谱联用仪</w:t>
            </w:r>
          </w:p>
        </w:tc>
        <w:tc>
          <w:tcPr>
            <w:tcW w:w="3440" w:type="pct"/>
            <w:vAlign w:val="center"/>
          </w:tcPr>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i w:val="0"/>
                <w:caps w:val="0"/>
                <w:color w:val="auto"/>
                <w:spacing w:val="0"/>
                <w:w w:val="100"/>
                <w:sz w:val="24"/>
                <w:szCs w:val="24"/>
              </w:rPr>
              <w:t>1、</w:t>
            </w:r>
            <w:r>
              <w:rPr>
                <w:rFonts w:hint="eastAsia" w:ascii="宋体" w:hAnsi="宋体" w:eastAsia="宋体" w:cs="宋体"/>
                <w:b/>
                <w:bCs/>
                <w:i w:val="0"/>
                <w:caps w:val="0"/>
                <w:color w:val="auto"/>
                <w:spacing w:val="0"/>
                <w:w w:val="100"/>
                <w:kern w:val="0"/>
                <w:sz w:val="24"/>
                <w:szCs w:val="24"/>
              </w:rPr>
              <w:t>用途：</w:t>
            </w:r>
            <w:r>
              <w:rPr>
                <w:rFonts w:hint="eastAsia" w:ascii="宋体" w:hAnsi="宋体" w:eastAsia="宋体" w:cs="宋体"/>
                <w:b w:val="0"/>
                <w:i w:val="0"/>
                <w:caps w:val="0"/>
                <w:color w:val="auto"/>
                <w:spacing w:val="0"/>
                <w:w w:val="100"/>
                <w:sz w:val="24"/>
                <w:szCs w:val="24"/>
              </w:rPr>
              <w:t>用于药物代谢，临床药物监，化药基因毒性杂质、中药分析等；</w:t>
            </w:r>
            <w:r>
              <w:rPr>
                <w:rFonts w:hint="eastAsia" w:ascii="宋体" w:hAnsi="宋体" w:eastAsia="宋体" w:cs="宋体"/>
                <w:b/>
                <w:i w:val="0"/>
                <w:caps w:val="0"/>
                <w:color w:val="auto"/>
                <w:spacing w:val="0"/>
                <w:w w:val="100"/>
                <w:sz w:val="24"/>
                <w:szCs w:val="24"/>
              </w:rPr>
              <w:br w:type="textWrapping"/>
            </w:r>
            <w:r>
              <w:rPr>
                <w:rFonts w:hint="eastAsia" w:ascii="宋体" w:hAnsi="宋体" w:eastAsia="宋体" w:cs="宋体"/>
                <w:b/>
                <w:i w:val="0"/>
                <w:caps w:val="0"/>
                <w:color w:val="auto"/>
                <w:spacing w:val="0"/>
                <w:w w:val="100"/>
                <w:sz w:val="24"/>
                <w:szCs w:val="24"/>
              </w:rPr>
              <w:t>1.1  质谱硬件部分</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1.1.1 大气压离子源是双正交设计，有效防止大量复杂样品对仪器的污染。</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1.1.2离子源和质谱间有隔断阀，待机时及清洗离子源时均可真空隔断，清洗时不必放空真空系统。</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1.1.3 待机过程时，离子源不消耗氮气。</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★1.1.4 复合离子源实现一次进样完成ESI（电喷雾电离源）/APCI（大气压化学电离源）离子的检测，同时得到全时段ESI+、ESI-、APCI+、APCI-四通道数据，提供官方证明文件。</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lang w:val="de-DE"/>
              </w:rPr>
            </w:pPr>
            <w:r>
              <w:rPr>
                <w:rFonts w:hint="eastAsia" w:ascii="宋体" w:hAnsi="宋体" w:eastAsia="宋体" w:cs="宋体"/>
                <w:b w:val="0"/>
                <w:i w:val="0"/>
                <w:caps w:val="0"/>
                <w:color w:val="auto"/>
                <w:spacing w:val="0"/>
                <w:w w:val="100"/>
                <w:sz w:val="24"/>
                <w:szCs w:val="24"/>
              </w:rPr>
              <w:t>★1.1.5离子源传输部分采用锥孔设计或毛细管接口，若为毛细管设计，由于损耗较大，需额外多配50根毛细管。</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1.1.6 ESI（电喷雾电离源）和APCI（大气压化学电离源）切换时间≤20 ms。</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★1.1.7离子源具有双控温区域，脱溶剂气温度设置≥600度，且需满足离子源接口作为另一控温区域，温度设置≥150度，提高脱溶剂化效果，请提供厂家证明文件。</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★1.1.8质谱端直接进样自动调谐和校准系统，实现化合物质谱条件自动开发，每次可同时优化多个化合物，开发好的质谱条件可以自动保存为方法文件，直接用于样品分析。</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1.1.9偏轴式离子传输系统技术设计大幅度提升可电离组分的信号，同时“离轴”设计可有效排除中性干扰基质所带来的基质效应，降低噪声，大幅提高检测灵敏度，同时也能提高仪器耐污染能力。</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1.1.10碰撞室非常有效的防止离子束扩散，同时提高检测灵敏度及分辨率，降低交叉污染。</w:t>
            </w:r>
          </w:p>
          <w:p>
            <w:pPr>
              <w:keepLines w:val="0"/>
              <w:widowControl/>
              <w:tabs>
                <w:tab w:val="left" w:pos="5400"/>
              </w:tabs>
              <w:snapToGrid w:val="0"/>
              <w:spacing w:before="0" w:beforeAutospacing="0" w:after="0" w:afterAutospacing="0" w:line="400" w:lineRule="exact"/>
              <w:textAlignment w:val="baseline"/>
              <w:rPr>
                <w:rFonts w:hint="eastAsia" w:ascii="宋体" w:hAnsi="宋体" w:eastAsia="宋体" w:cs="宋体"/>
                <w:b w:val="0"/>
                <w:bCs/>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★1.1.11 检测器：光电倍增器或电子倍增器。若为光电倍增器，需密封在真空玻璃内，满足长期大量脏样品定量分析的数据可靠性和重复性，单独10年</w:t>
            </w:r>
            <w:r>
              <w:rPr>
                <w:rFonts w:hint="eastAsia" w:ascii="宋体" w:hAnsi="宋体" w:cs="宋体"/>
                <w:b w:val="0"/>
                <w:i w:val="0"/>
                <w:caps w:val="0"/>
                <w:color w:val="auto"/>
                <w:spacing w:val="0"/>
                <w:w w:val="100"/>
                <w:sz w:val="24"/>
                <w:szCs w:val="24"/>
                <w:lang w:val="en-US" w:eastAsia="zh-CN"/>
              </w:rPr>
              <w:t>及以上</w:t>
            </w:r>
            <w:r>
              <w:rPr>
                <w:rFonts w:hint="eastAsia" w:ascii="宋体" w:hAnsi="宋体" w:eastAsia="宋体" w:cs="宋体"/>
                <w:b w:val="0"/>
                <w:i w:val="0"/>
                <w:caps w:val="0"/>
                <w:color w:val="auto"/>
                <w:spacing w:val="0"/>
                <w:w w:val="100"/>
                <w:sz w:val="24"/>
                <w:szCs w:val="24"/>
              </w:rPr>
              <w:t>质保；若为电子倍增器，由于其一般只有2年使用寿命，需额外配置4个电子倍增器，以满足10年</w:t>
            </w:r>
            <w:r>
              <w:rPr>
                <w:rFonts w:hint="eastAsia" w:ascii="宋体" w:hAnsi="宋体" w:cs="宋体"/>
                <w:b w:val="0"/>
                <w:i w:val="0"/>
                <w:caps w:val="0"/>
                <w:color w:val="auto"/>
                <w:spacing w:val="0"/>
                <w:w w:val="100"/>
                <w:sz w:val="24"/>
                <w:szCs w:val="24"/>
                <w:lang w:val="en-US" w:eastAsia="zh-CN"/>
              </w:rPr>
              <w:t>及以上</w:t>
            </w:r>
            <w:r>
              <w:rPr>
                <w:rFonts w:hint="eastAsia" w:ascii="宋体" w:hAnsi="宋体" w:eastAsia="宋体" w:cs="宋体"/>
                <w:b w:val="0"/>
                <w:i w:val="0"/>
                <w:caps w:val="0"/>
                <w:color w:val="auto"/>
                <w:spacing w:val="0"/>
                <w:w w:val="100"/>
                <w:sz w:val="24"/>
                <w:szCs w:val="24"/>
              </w:rPr>
              <w:t>的使用寿命。</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i w:val="0"/>
                <w:caps w:val="0"/>
                <w:color w:val="auto"/>
                <w:spacing w:val="0"/>
                <w:w w:val="100"/>
                <w:sz w:val="24"/>
                <w:szCs w:val="24"/>
              </w:rPr>
            </w:pPr>
            <w:r>
              <w:rPr>
                <w:rFonts w:hint="eastAsia" w:ascii="宋体" w:hAnsi="宋体" w:eastAsia="宋体" w:cs="宋体"/>
                <w:b/>
                <w:i w:val="0"/>
                <w:caps w:val="0"/>
                <w:color w:val="auto"/>
                <w:spacing w:val="0"/>
                <w:w w:val="100"/>
                <w:sz w:val="24"/>
                <w:szCs w:val="24"/>
              </w:rPr>
              <w:t>1.2主要性能指标</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★1.2.1 质量范围: 2－2,000 amu（原子质量单位）。</w:t>
            </w:r>
          </w:p>
          <w:p>
            <w:pPr>
              <w:keepLines w:val="0"/>
              <w:widowControl/>
              <w:tabs>
                <w:tab w:val="left" w:pos="5400"/>
              </w:tabs>
              <w:snapToGrid w:val="0"/>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 xml:space="preserve">1.2.2分辨率： </w:t>
            </w:r>
            <w:r>
              <w:rPr>
                <w:rFonts w:hint="eastAsia" w:ascii="宋体" w:hAnsi="宋体" w:eastAsia="宋体" w:cs="宋体"/>
                <w:b w:val="0"/>
                <w:i w:val="0"/>
                <w:caps w:val="0"/>
                <w:color w:val="auto"/>
                <w:spacing w:val="0"/>
                <w:w w:val="100"/>
                <w:sz w:val="24"/>
                <w:szCs w:val="24"/>
              </w:rPr>
              <w:sym w:font="Symbol" w:char="F0B3"/>
            </w:r>
            <w:r>
              <w:rPr>
                <w:rFonts w:hint="eastAsia" w:ascii="宋体" w:hAnsi="宋体" w:eastAsia="宋体" w:cs="宋体"/>
                <w:b w:val="0"/>
                <w:i w:val="0"/>
                <w:caps w:val="0"/>
                <w:color w:val="auto"/>
                <w:spacing w:val="0"/>
                <w:w w:val="100"/>
                <w:sz w:val="24"/>
                <w:szCs w:val="24"/>
              </w:rPr>
              <w:t>2.5M (半峰宽≤0.4Da)</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★1.2.3  ESI正离子灵敏度</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1pg利血平柱上进样，m/z609-195，信噪比≥500000:1, 原始数据或无平滑数据，同时满足6针重现性RSD&lt;5%（相对标准偏差） ，提供证明</w:t>
            </w:r>
            <w:r>
              <w:rPr>
                <w:rFonts w:hint="eastAsia" w:ascii="宋体" w:hAnsi="宋体" w:eastAsia="宋体" w:cs="宋体"/>
                <w:b w:val="0"/>
                <w:i w:val="0"/>
                <w:caps w:val="0"/>
                <w:strike/>
                <w:color w:val="auto"/>
                <w:spacing w:val="0"/>
                <w:w w:val="100"/>
                <w:sz w:val="24"/>
                <w:szCs w:val="24"/>
              </w:rPr>
              <w:t>文件</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1.2.4一次进样可完成＞32768组MRM的同时分析而不损失灵敏度。</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1.2.5扫描速率 ≥20000 amu/s ，步进0.1 amu</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1.2.6</w:t>
            </w:r>
            <w:r>
              <w:rPr>
                <w:rFonts w:hint="eastAsia" w:ascii="宋体" w:hAnsi="宋体" w:eastAsia="宋体" w:cs="宋体"/>
                <w:b w:val="0"/>
                <w:i w:val="0"/>
                <w:caps w:val="0"/>
                <w:color w:val="auto"/>
                <w:spacing w:val="0"/>
                <w:w w:val="100"/>
                <w:sz w:val="24"/>
                <w:szCs w:val="24"/>
                <w:lang w:val="fr-FR"/>
              </w:rPr>
              <w:t>正负离子切换≤15ms</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lang w:val="en-GB"/>
              </w:rPr>
            </w:pPr>
            <w:r>
              <w:rPr>
                <w:rFonts w:hint="eastAsia" w:ascii="宋体" w:hAnsi="宋体" w:eastAsia="宋体" w:cs="宋体"/>
                <w:b w:val="0"/>
                <w:i w:val="0"/>
                <w:caps w:val="0"/>
                <w:color w:val="auto"/>
                <w:spacing w:val="0"/>
                <w:w w:val="100"/>
                <w:sz w:val="24"/>
                <w:szCs w:val="24"/>
              </w:rPr>
              <w:t>1.2.7</w:t>
            </w:r>
            <w:r>
              <w:rPr>
                <w:rFonts w:hint="eastAsia" w:ascii="宋体" w:hAnsi="宋体" w:eastAsia="宋体" w:cs="宋体"/>
                <w:b w:val="0"/>
                <w:i w:val="0"/>
                <w:caps w:val="0"/>
                <w:color w:val="auto"/>
                <w:spacing w:val="0"/>
                <w:w w:val="100"/>
                <w:sz w:val="24"/>
                <w:szCs w:val="24"/>
                <w:lang w:val="en-GB"/>
              </w:rPr>
              <w:t>扫描方式：具有全扫描(Full Scan)、选择离子扫描(SIM)、子离子扫描（Product Ion Scan）、母离子扫描（Precursor Ion Scan）、中性丢失扫描（Neutral Loss Scan）、多反应监测扫描（MRM）。</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lang w:val="fr-FR"/>
              </w:rPr>
            </w:pPr>
            <w:r>
              <w:rPr>
                <w:rFonts w:hint="eastAsia" w:ascii="宋体" w:hAnsi="宋体" w:eastAsia="宋体" w:cs="宋体"/>
                <w:b w:val="0"/>
                <w:i w:val="0"/>
                <w:caps w:val="0"/>
                <w:color w:val="auto"/>
                <w:spacing w:val="0"/>
                <w:w w:val="100"/>
                <w:sz w:val="24"/>
                <w:szCs w:val="24"/>
                <w:lang w:val="en-GB"/>
              </w:rPr>
              <w:t>1.</w:t>
            </w:r>
            <w:r>
              <w:rPr>
                <w:rFonts w:hint="eastAsia" w:ascii="宋体" w:hAnsi="宋体" w:eastAsia="宋体" w:cs="宋体"/>
                <w:b w:val="0"/>
                <w:i w:val="0"/>
                <w:caps w:val="0"/>
                <w:color w:val="auto"/>
                <w:spacing w:val="0"/>
                <w:w w:val="100"/>
                <w:sz w:val="24"/>
                <w:szCs w:val="24"/>
              </w:rPr>
              <w:t>2</w:t>
            </w:r>
            <w:r>
              <w:rPr>
                <w:rFonts w:hint="eastAsia" w:ascii="宋体" w:hAnsi="宋体" w:eastAsia="宋体" w:cs="宋体"/>
                <w:b w:val="0"/>
                <w:i w:val="0"/>
                <w:caps w:val="0"/>
                <w:color w:val="auto"/>
                <w:spacing w:val="0"/>
                <w:w w:val="100"/>
                <w:sz w:val="24"/>
                <w:szCs w:val="24"/>
                <w:lang w:val="en-GB"/>
              </w:rPr>
              <w:t>.8多反应监测扫描（MRM</w:t>
            </w:r>
            <w:r>
              <w:rPr>
                <w:rFonts w:hint="default" w:ascii="宋体" w:hAnsi="宋体" w:cs="宋体"/>
                <w:b w:val="0"/>
                <w:i w:val="0"/>
                <w:caps w:val="0"/>
                <w:color w:val="auto"/>
                <w:spacing w:val="0"/>
                <w:w w:val="100"/>
                <w:sz w:val="24"/>
                <w:szCs w:val="24"/>
              </w:rPr>
              <w:t>)</w:t>
            </w:r>
            <w:r>
              <w:rPr>
                <w:rFonts w:hint="eastAsia" w:ascii="宋体" w:hAnsi="宋体" w:eastAsia="宋体" w:cs="宋体"/>
                <w:b w:val="0"/>
                <w:i w:val="0"/>
                <w:caps w:val="0"/>
                <w:color w:val="auto"/>
                <w:spacing w:val="0"/>
                <w:w w:val="100"/>
                <w:sz w:val="24"/>
                <w:szCs w:val="24"/>
                <w:lang w:val="fr-FR"/>
              </w:rPr>
              <w:t>和</w:t>
            </w:r>
            <w:r>
              <w:rPr>
                <w:rFonts w:hint="eastAsia" w:ascii="宋体" w:hAnsi="宋体" w:eastAsia="宋体" w:cs="宋体"/>
                <w:b w:val="0"/>
                <w:i w:val="0"/>
                <w:caps w:val="0"/>
                <w:color w:val="auto"/>
                <w:spacing w:val="0"/>
                <w:w w:val="100"/>
                <w:sz w:val="24"/>
                <w:szCs w:val="24"/>
                <w:lang w:val="en-GB"/>
              </w:rPr>
              <w:t>全扫描(Full Scan)</w:t>
            </w:r>
            <w:r>
              <w:rPr>
                <w:rFonts w:hint="eastAsia" w:ascii="宋体" w:hAnsi="宋体" w:eastAsia="宋体" w:cs="宋体"/>
                <w:b w:val="0"/>
                <w:i w:val="0"/>
                <w:caps w:val="0"/>
                <w:color w:val="auto"/>
                <w:spacing w:val="0"/>
                <w:w w:val="100"/>
                <w:sz w:val="24"/>
                <w:szCs w:val="24"/>
                <w:lang w:val="fr-FR"/>
              </w:rPr>
              <w:t>切换时间 ≤ 3ms；</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w:t>
            </w:r>
            <w:r>
              <w:rPr>
                <w:rFonts w:hint="eastAsia" w:ascii="宋体" w:hAnsi="宋体" w:eastAsia="宋体" w:cs="宋体"/>
                <w:b w:val="0"/>
                <w:i w:val="0"/>
                <w:caps w:val="0"/>
                <w:color w:val="auto"/>
                <w:spacing w:val="0"/>
                <w:w w:val="100"/>
                <w:sz w:val="24"/>
                <w:szCs w:val="24"/>
                <w:lang w:val="fr-FR"/>
              </w:rPr>
              <w:t>1.</w:t>
            </w:r>
            <w:r>
              <w:rPr>
                <w:rFonts w:hint="eastAsia" w:ascii="宋体" w:hAnsi="宋体" w:eastAsia="宋体" w:cs="宋体"/>
                <w:b w:val="0"/>
                <w:i w:val="0"/>
                <w:caps w:val="0"/>
                <w:color w:val="auto"/>
                <w:spacing w:val="0"/>
                <w:w w:val="100"/>
                <w:sz w:val="24"/>
                <w:szCs w:val="24"/>
              </w:rPr>
              <w:t>2</w:t>
            </w:r>
            <w:r>
              <w:rPr>
                <w:rFonts w:hint="eastAsia" w:ascii="宋体" w:hAnsi="宋体" w:eastAsia="宋体" w:cs="宋体"/>
                <w:b w:val="0"/>
                <w:i w:val="0"/>
                <w:caps w:val="0"/>
                <w:color w:val="auto"/>
                <w:spacing w:val="0"/>
                <w:w w:val="100"/>
                <w:sz w:val="24"/>
                <w:szCs w:val="24"/>
                <w:lang w:val="fr-FR"/>
              </w:rPr>
              <w:t>.9</w:t>
            </w:r>
            <w:r>
              <w:rPr>
                <w:rFonts w:hint="eastAsia" w:ascii="宋体" w:hAnsi="宋体" w:eastAsia="宋体" w:cs="宋体"/>
                <w:b w:val="0"/>
                <w:i w:val="0"/>
                <w:caps w:val="0"/>
                <w:color w:val="auto"/>
                <w:spacing w:val="0"/>
                <w:w w:val="100"/>
                <w:sz w:val="24"/>
                <w:szCs w:val="24"/>
              </w:rPr>
              <w:t>动态阈值二级全扫描</w:t>
            </w:r>
            <w:r>
              <w:rPr>
                <w:rFonts w:hint="eastAsia" w:ascii="宋体" w:hAnsi="宋体" w:eastAsia="宋体" w:cs="宋体"/>
                <w:b w:val="0"/>
                <w:i w:val="0"/>
                <w:caps w:val="0"/>
                <w:color w:val="auto"/>
                <w:spacing w:val="0"/>
                <w:w w:val="100"/>
                <w:sz w:val="24"/>
                <w:szCs w:val="24"/>
                <w:lang w:val="en-GB"/>
              </w:rPr>
              <w:t>子离子确认功能：在检测MRM通道的同时采集目标化合物的完整子离子全扫描信号，并自动同标准品二级全扫描谱图实现比对、确证，在定量分析的同时实现定性功能，大大降低复杂痕量样品的假阳性。</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i w:val="0"/>
                <w:caps w:val="0"/>
                <w:color w:val="auto"/>
                <w:spacing w:val="0"/>
                <w:w w:val="100"/>
                <w:sz w:val="24"/>
                <w:szCs w:val="24"/>
              </w:rPr>
            </w:pPr>
            <w:r>
              <w:rPr>
                <w:rFonts w:hint="eastAsia" w:ascii="宋体" w:hAnsi="宋体" w:eastAsia="宋体" w:cs="宋体"/>
                <w:b/>
                <w:i w:val="0"/>
                <w:caps w:val="0"/>
                <w:color w:val="auto"/>
                <w:spacing w:val="0"/>
                <w:w w:val="100"/>
                <w:sz w:val="24"/>
                <w:szCs w:val="24"/>
              </w:rPr>
              <w:t>2.超高效液相技术指标</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i w:val="0"/>
                <w:caps w:val="0"/>
                <w:color w:val="auto"/>
                <w:spacing w:val="0"/>
                <w:w w:val="100"/>
                <w:sz w:val="24"/>
                <w:szCs w:val="24"/>
              </w:rPr>
            </w:pPr>
            <w:r>
              <w:rPr>
                <w:rFonts w:hint="eastAsia" w:ascii="宋体" w:hAnsi="宋体" w:eastAsia="宋体" w:cs="宋体"/>
                <w:b/>
                <w:i w:val="0"/>
                <w:caps w:val="0"/>
                <w:color w:val="auto"/>
                <w:spacing w:val="0"/>
                <w:w w:val="100"/>
                <w:sz w:val="24"/>
                <w:szCs w:val="24"/>
              </w:rPr>
              <w:t>2.1 二元溶剂管理系统</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2.1.1 二元梯度，可从四种溶剂中选择两种溶剂混合</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★2.1.2高性能表面技术，完全惰性材料，不仅能降低表面相互作用导致的变异性和样品损失，还省去了耗时的钝化操作，并且/或者无需使用添加剂</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2.1.3 流量：0.0100-2.000mL/min，以0.001mL/min为增量</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★2.1.4最大操作压力：15,000psi</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2.1.5 延迟体积：≤90 μL（含50uL混和器），不随反压变化</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2.1.6 柱塞清洗：自动，可编程</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2.1.7 流量精度：＜0.075%RSD</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2.1.8流速准确度：±1.0%</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 xml:space="preserve">2.1.9 梯度准确度：± 0.5%，不随反压变化  </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2.1.10 梯度精度：±0.15%RSD，不随反压变化</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 xml:space="preserve">2.1.11 混合方式：高压混合  </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★2.1.12 梯度模式：预编11种梯度曲线，分为线性、步进、凹线、凸线四种类型</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i w:val="0"/>
                <w:caps w:val="0"/>
                <w:color w:val="auto"/>
                <w:spacing w:val="0"/>
                <w:w w:val="100"/>
                <w:sz w:val="24"/>
                <w:szCs w:val="24"/>
              </w:rPr>
            </w:pPr>
            <w:r>
              <w:rPr>
                <w:rFonts w:hint="eastAsia" w:ascii="宋体" w:hAnsi="宋体" w:eastAsia="宋体" w:cs="宋体"/>
                <w:b/>
                <w:i w:val="0"/>
                <w:caps w:val="0"/>
                <w:color w:val="auto"/>
                <w:spacing w:val="0"/>
                <w:w w:val="100"/>
                <w:sz w:val="24"/>
                <w:szCs w:val="24"/>
              </w:rPr>
              <w:t xml:space="preserve">2.2 自动进样器管理系统 </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★2.2.1 材料：HPS（高性能表面技术），PEEK（聚醚醚酮）混合物，DLC（类金刚石薄膜）等惰性材料</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2.2.2 进样精度：&lt;0.3%RSD</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2.2.3 样品交叉污染度：&lt;0.001%</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2.2.4 进样体积：0.1-50 µL，以0.1 µL为增量</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2.2.5 样品数：96位</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2.2.6 自动进样循环时间：&lt;30秒</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2.2.7 样品室温度范围：4°C-40°C，可编程，增量：1°C</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 xml:space="preserve">2.2.8 针在线样品进样模式 </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i w:val="0"/>
                <w:caps w:val="0"/>
                <w:color w:val="auto"/>
                <w:spacing w:val="0"/>
                <w:w w:val="100"/>
                <w:sz w:val="24"/>
                <w:szCs w:val="24"/>
              </w:rPr>
            </w:pPr>
            <w:r>
              <w:rPr>
                <w:rFonts w:hint="eastAsia" w:ascii="宋体" w:hAnsi="宋体" w:eastAsia="宋体" w:cs="宋体"/>
                <w:b/>
                <w:i w:val="0"/>
                <w:caps w:val="0"/>
                <w:color w:val="auto"/>
                <w:spacing w:val="0"/>
                <w:w w:val="100"/>
                <w:sz w:val="24"/>
                <w:szCs w:val="24"/>
              </w:rPr>
              <w:t>2.3 柱温箱</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2.3.1 高性能表面技术，完全惰性材料，不仅能降低表面相互作用导致的变异性和样品损失，还省去了耗时的钝化操作，并且/或者无需使用添加剂</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2.3.2色谱柱容量：标准配置为2根色谱柱</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2.3.3 切换阀：2个9通8位阀，提供可设置的自动随机出入口开关、废液和旁路位置用于快速溶剂切换</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2.3.4 温度范围：4.0~90.0 ℃，可以0.1 ℃的增量</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 xml:space="preserve">★2.3.5色谱柱信息跟踪记录：智能芯片技术利用色谱柱信息管理功能追踪并存档色谱柱的使用历史。信息类型为18项。 </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i w:val="0"/>
                <w:caps w:val="0"/>
                <w:color w:val="auto"/>
                <w:spacing w:val="0"/>
                <w:w w:val="100"/>
                <w:sz w:val="24"/>
                <w:szCs w:val="24"/>
              </w:rPr>
            </w:pPr>
            <w:r>
              <w:rPr>
                <w:rFonts w:hint="eastAsia" w:ascii="宋体" w:hAnsi="宋体" w:eastAsia="宋体" w:cs="宋体"/>
                <w:b/>
                <w:i w:val="0"/>
                <w:caps w:val="0"/>
                <w:color w:val="auto"/>
                <w:spacing w:val="0"/>
                <w:w w:val="100"/>
                <w:sz w:val="24"/>
                <w:szCs w:val="24"/>
              </w:rPr>
              <w:t>2.4超高效二极管阵列检测器</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 xml:space="preserve">2.4.1波长范围：190-800nm </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2.4.2波长准确度：±1nm</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2.4.3数字分辨率：1.2nm</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2.4.4基线噪音：±3×10-6 AU,</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 xml:space="preserve">2.4.5基线漂移: ≤1.0×10-3AU/hr/℃ </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2.4.6线性范围：2.0AU</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2.4.7吸收范围：0.0001 to 4.0000 AUFS</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2.4.8光源：氘灯，寿命2000小时</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★2.4.9流通池：光导全反射流动池</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2.4.10流通池耐压：1000psi</w:t>
            </w:r>
          </w:p>
          <w:p>
            <w:pPr>
              <w:keepLines w:val="0"/>
              <w:widowControl/>
              <w:snapToGrid w:val="0"/>
              <w:spacing w:before="0" w:beforeAutospacing="0" w:after="0" w:afterAutospacing="0" w:line="400" w:lineRule="exact"/>
              <w:ind w:right="433"/>
              <w:textAlignment w:val="baseline"/>
              <w:rPr>
                <w:rFonts w:hint="eastAsia" w:ascii="宋体" w:hAnsi="宋体" w:eastAsia="宋体" w:cs="宋体"/>
                <w:b/>
                <w:i w:val="0"/>
                <w:caps w:val="0"/>
                <w:color w:val="auto"/>
                <w:spacing w:val="0"/>
                <w:w w:val="100"/>
                <w:sz w:val="24"/>
                <w:szCs w:val="24"/>
              </w:rPr>
            </w:pPr>
            <w:r>
              <w:rPr>
                <w:rFonts w:hint="eastAsia" w:ascii="宋体" w:hAnsi="宋体" w:eastAsia="宋体" w:cs="宋体"/>
                <w:b/>
                <w:i w:val="0"/>
                <w:caps w:val="0"/>
                <w:color w:val="auto"/>
                <w:spacing w:val="0"/>
                <w:w w:val="100"/>
                <w:sz w:val="24"/>
                <w:szCs w:val="24"/>
              </w:rPr>
              <w:t>3质谱软件</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3.1集成的样品/校正液传输系统，可编程控制的切换阀</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3.2自动质量校正；自动样品调谐</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3.3自动调谐参数（质谱分辨率、质谱校准、离子源优化）。</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★3.4配有脂质组学分析软件。</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3.5监测系统长期稳定性，能根据分析操作的情况绘制短、中、长期批间趋势图，长期监测系统健康</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3.6 方法库：提供大于3000个化合物的方法，包括色谱方法及质谱方法</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4配置要求</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4.1 三重四级杆质谱仪  1套</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4.2 超高效液相色谱仪  1套</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4.3 二极管检测器      1台</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4.4 真空泵            1台</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4.5 质谱控制软件      1套</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4.6脂质组学软件       1套</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4.7 氨基酸方法包      1套</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4.8脂质分析前处理方法包 1套</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4.9 超高效色谱柱    5个</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4.10 现场培训至少2次</w:t>
            </w:r>
          </w:p>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4.11整机质保     3年</w:t>
            </w:r>
          </w:p>
        </w:tc>
        <w:tc>
          <w:tcPr>
            <w:tcW w:w="418" w:type="pct"/>
            <w:vAlign w:val="center"/>
          </w:tcPr>
          <w:p>
            <w:pPr>
              <w:keepLines w:val="0"/>
              <w:widowControl/>
              <w:snapToGrid/>
              <w:spacing w:before="0" w:beforeAutospacing="0" w:after="0" w:afterAutospacing="0" w:line="400" w:lineRule="exact"/>
              <w:textAlignment w:val="baseline"/>
              <w:rPr>
                <w:rFonts w:hint="eastAsia" w:ascii="宋体" w:hAnsi="宋体" w:eastAsia="宋体" w:cs="宋体"/>
                <w:b w:val="0"/>
                <w:i w:val="0"/>
                <w:caps w:val="0"/>
                <w:color w:val="auto"/>
                <w:spacing w:val="0"/>
                <w:w w:val="100"/>
                <w:sz w:val="24"/>
                <w:szCs w:val="24"/>
              </w:rPr>
            </w:pPr>
            <w:r>
              <w:rPr>
                <w:rFonts w:hint="eastAsia" w:ascii="宋体" w:hAnsi="宋体" w:eastAsia="宋体" w:cs="宋体"/>
                <w:b w:val="0"/>
                <w:i w:val="0"/>
                <w:caps w:val="0"/>
                <w:color w:val="auto"/>
                <w:spacing w:val="0"/>
                <w:w w:val="100"/>
                <w:sz w:val="24"/>
                <w:szCs w:val="24"/>
              </w:rPr>
              <w:t>1台</w:t>
            </w:r>
          </w:p>
        </w:tc>
      </w:tr>
    </w:tbl>
    <w:p>
      <w:pPr>
        <w:pStyle w:val="2"/>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firstLine="456" w:firstLineChars="200"/>
        <w:textAlignment w:val="auto"/>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1.单台设备报价超过10万人民币的设备，到货后包装箱内须有原厂装箱单。</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firstLine="456" w:firstLineChars="200"/>
        <w:textAlignment w:val="auto"/>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2.国产压力容器必须有合格证书及特种设备制造监督检验证书，并负责在购买后向质量监督局备案。进口压力容器必须有特种设备制造许可证及进口容器安全性能监督检验证书及报告书，并负责在购买后向质量监督局备案。</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firstLine="456" w:firstLineChars="200"/>
        <w:textAlignment w:val="auto"/>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3.所有设备供货时需提供技术资料（包括但不限于中文使用说明书）1套；</w:t>
      </w:r>
    </w:p>
    <w:p>
      <w:pPr>
        <w:pStyle w:val="2"/>
        <w:numPr>
          <w:ilvl w:val="0"/>
          <w:numId w:val="0"/>
        </w:numPr>
        <w:ind w:leftChars="0"/>
        <w:rPr>
          <w:rFonts w:hint="eastAsia" w:ascii="宋体" w:hAnsi="宋体" w:eastAsia="宋体" w:cs="宋体"/>
          <w:b/>
          <w:bCs/>
          <w:color w:val="auto"/>
          <w:sz w:val="24"/>
          <w:szCs w:val="24"/>
          <w:lang w:val="en-US" w:eastAsia="zh-CN" w:bidi="ar-SA"/>
        </w:rPr>
      </w:pPr>
      <w:r>
        <w:rPr>
          <w:rFonts w:hint="eastAsia" w:ascii="宋体" w:hAnsi="宋体" w:eastAsia="宋体" w:cs="宋体"/>
          <w:b/>
          <w:bCs/>
          <w:color w:val="auto"/>
          <w:sz w:val="24"/>
          <w:szCs w:val="24"/>
          <w:lang w:val="en-US" w:eastAsia="zh-CN" w:bidi="ar-SA"/>
        </w:rPr>
        <w:t>三、其他服务要求：</w:t>
      </w:r>
    </w:p>
    <w:p>
      <w:pPr>
        <w:numPr>
          <w:ilvl w:val="0"/>
          <w:numId w:val="0"/>
        </w:numPr>
        <w:spacing w:line="360" w:lineRule="auto"/>
        <w:ind w:leftChars="0" w:firstLine="456"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1、如投标人所投产品为海关规定的非免税进口产品，则投标人的报价须为含税价。</w:t>
      </w:r>
    </w:p>
    <w:p>
      <w:pPr>
        <w:numPr>
          <w:ilvl w:val="0"/>
          <w:numId w:val="0"/>
        </w:numPr>
        <w:spacing w:line="360" w:lineRule="auto"/>
        <w:ind w:leftChars="0" w:firstLine="456"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2、项目实施过程中如需其他资源，在投标方案中没有说明的，实施中所产生的费用由投标人承担。</w:t>
      </w:r>
    </w:p>
    <w:p>
      <w:pPr>
        <w:numPr>
          <w:ilvl w:val="0"/>
          <w:numId w:val="0"/>
        </w:numPr>
        <w:ind w:leftChars="0"/>
        <w:rPr>
          <w:rFonts w:hint="default"/>
          <w:color w:val="auto"/>
          <w:lang w:val="en-US" w:eastAsia="zh-CN"/>
        </w:rPr>
      </w:pPr>
    </w:p>
    <w:p>
      <w:pPr>
        <w:pStyle w:val="2"/>
        <w:rPr>
          <w:rFonts w:ascii="宋体" w:hAnsi="宋体" w:eastAsia="宋体" w:cs="宋体"/>
          <w:color w:val="auto"/>
        </w:rPr>
        <w:sectPr>
          <w:headerReference r:id="rId11" w:type="first"/>
          <w:footerReference r:id="rId13" w:type="first"/>
          <w:footerReference r:id="rId12" w:type="default"/>
          <w:pgSz w:w="11906" w:h="16838"/>
          <w:pgMar w:top="1440" w:right="1627" w:bottom="1440" w:left="1627" w:header="1247" w:footer="567" w:gutter="0"/>
          <w:cols w:space="0" w:num="1"/>
          <w:titlePg/>
          <w:docGrid w:type="linesAndChars" w:linePitch="319" w:charSpace="-2499"/>
        </w:sectPr>
      </w:pPr>
      <w:r>
        <w:rPr>
          <w:rFonts w:hint="eastAsia" w:ascii="宋体" w:hAnsi="宋体" w:eastAsia="宋体" w:cs="宋体"/>
          <w:color w:val="auto"/>
          <w:sz w:val="24"/>
          <w:szCs w:val="24"/>
        </w:rPr>
        <w:t>注：“★”号条款为实质性条款，不得出现负偏离，发生负偏离即做无效标处理。</w:t>
      </w:r>
      <w:bookmarkStart w:id="10" w:name="_Toc521247251"/>
    </w:p>
    <w:p>
      <w:pPr>
        <w:pStyle w:val="3"/>
        <w:jc w:val="center"/>
        <w:rPr>
          <w:rFonts w:ascii="宋体" w:hAnsi="宋体" w:cs="宋体"/>
          <w:color w:val="auto"/>
          <w:sz w:val="30"/>
          <w:szCs w:val="30"/>
        </w:rPr>
      </w:pPr>
      <w:r>
        <w:rPr>
          <w:rFonts w:hint="eastAsia" w:ascii="宋体" w:hAnsi="宋体" w:cs="宋体"/>
          <w:color w:val="auto"/>
          <w:sz w:val="30"/>
          <w:szCs w:val="30"/>
        </w:rPr>
        <w:t>第三部分 投标须知</w:t>
      </w:r>
      <w:bookmarkEnd w:id="10"/>
    </w:p>
    <w:p>
      <w:pPr>
        <w:spacing w:after="0" w:line="560" w:lineRule="exact"/>
        <w:jc w:val="center"/>
        <w:rPr>
          <w:rFonts w:ascii="宋体" w:hAnsi="宋体" w:cs="宋体"/>
          <w:color w:val="auto"/>
          <w:sz w:val="24"/>
          <w:szCs w:val="24"/>
        </w:rPr>
      </w:pPr>
      <w:r>
        <w:rPr>
          <w:rFonts w:hint="eastAsia" w:ascii="宋体" w:hAnsi="宋体" w:cs="宋体"/>
          <w:color w:val="auto"/>
          <w:sz w:val="24"/>
          <w:szCs w:val="24"/>
        </w:rPr>
        <w:t>A  说明</w:t>
      </w:r>
    </w:p>
    <w:p>
      <w:pPr>
        <w:spacing w:after="0" w:line="560" w:lineRule="exact"/>
        <w:rPr>
          <w:rFonts w:ascii="宋体" w:hAnsi="宋体" w:cs="宋体"/>
          <w:color w:val="auto"/>
          <w:sz w:val="24"/>
          <w:szCs w:val="24"/>
        </w:rPr>
      </w:pPr>
      <w:r>
        <w:rPr>
          <w:rFonts w:hint="eastAsia" w:ascii="宋体" w:hAnsi="宋体" w:cs="宋体"/>
          <w:color w:val="auto"/>
          <w:sz w:val="24"/>
          <w:szCs w:val="24"/>
        </w:rPr>
        <w:t>1. 概述</w:t>
      </w:r>
    </w:p>
    <w:p>
      <w:pPr>
        <w:spacing w:after="0" w:line="560" w:lineRule="exact"/>
        <w:rPr>
          <w:rFonts w:ascii="宋体" w:hAnsi="宋体" w:cs="宋体"/>
          <w:color w:val="auto"/>
          <w:sz w:val="24"/>
          <w:szCs w:val="24"/>
        </w:rPr>
      </w:pPr>
      <w:r>
        <w:rPr>
          <w:rFonts w:hint="eastAsia" w:ascii="宋体" w:hAnsi="宋体" w:cs="宋体"/>
          <w:color w:val="auto"/>
          <w:sz w:val="24"/>
          <w:szCs w:val="24"/>
        </w:rPr>
        <w:t>1.1 根据《中华人民共和国政府采购法》、《中华人民共和国政府采购法实施条例》等有关法律、法规和规章的规定，本采购项目已具备招标条件。</w:t>
      </w:r>
    </w:p>
    <w:p>
      <w:pPr>
        <w:spacing w:after="0" w:line="560" w:lineRule="exact"/>
        <w:rPr>
          <w:rFonts w:ascii="宋体" w:hAnsi="宋体" w:cs="宋体"/>
          <w:color w:val="auto"/>
          <w:sz w:val="24"/>
          <w:szCs w:val="24"/>
        </w:rPr>
      </w:pPr>
      <w:r>
        <w:rPr>
          <w:rFonts w:hint="eastAsia" w:ascii="宋体" w:hAnsi="宋体" w:cs="宋体"/>
          <w:color w:val="auto"/>
          <w:sz w:val="24"/>
          <w:szCs w:val="24"/>
        </w:rPr>
        <w:t>1.2 本招标文件仅适用于投标邀请函中所叙述项目货物和服务的采购。</w:t>
      </w:r>
    </w:p>
    <w:p>
      <w:pPr>
        <w:spacing w:after="0" w:line="560" w:lineRule="exact"/>
        <w:rPr>
          <w:rFonts w:ascii="宋体" w:hAnsi="宋体" w:cs="宋体"/>
          <w:color w:val="auto"/>
          <w:sz w:val="24"/>
          <w:szCs w:val="24"/>
        </w:rPr>
      </w:pPr>
      <w:r>
        <w:rPr>
          <w:rFonts w:hint="eastAsia" w:ascii="宋体" w:hAnsi="宋体" w:cs="宋体"/>
          <w:color w:val="auto"/>
          <w:sz w:val="24"/>
          <w:szCs w:val="24"/>
        </w:rPr>
        <w:t>1.3 参与招标投标活动的所有各方，对在参与招标投标过程中获悉的国家、商业和技术秘密以及其它依法应当保密的内容，均负有保密义务，违者应对由此造成的后果承担全部法律责任。</w:t>
      </w:r>
    </w:p>
    <w:p>
      <w:pPr>
        <w:spacing w:after="0" w:line="560" w:lineRule="exact"/>
        <w:rPr>
          <w:rFonts w:ascii="宋体" w:hAnsi="宋体" w:cs="宋体"/>
          <w:color w:val="auto"/>
          <w:sz w:val="24"/>
          <w:szCs w:val="24"/>
        </w:rPr>
      </w:pPr>
      <w:r>
        <w:rPr>
          <w:rFonts w:hint="eastAsia" w:ascii="宋体" w:hAnsi="宋体" w:cs="宋体"/>
          <w:color w:val="auto"/>
          <w:sz w:val="24"/>
          <w:szCs w:val="24"/>
        </w:rPr>
        <w:t>2. 定义</w:t>
      </w:r>
    </w:p>
    <w:p>
      <w:pPr>
        <w:spacing w:after="0" w:line="560" w:lineRule="exact"/>
        <w:rPr>
          <w:rFonts w:ascii="宋体" w:hAnsi="宋体" w:cs="宋体"/>
          <w:color w:val="auto"/>
          <w:sz w:val="24"/>
          <w:szCs w:val="24"/>
        </w:rPr>
      </w:pPr>
      <w:r>
        <w:rPr>
          <w:rFonts w:hint="eastAsia" w:ascii="宋体" w:hAnsi="宋体" w:cs="宋体"/>
          <w:color w:val="auto"/>
          <w:sz w:val="24"/>
          <w:szCs w:val="24"/>
        </w:rPr>
        <w:t>2.1 “采购人”系指本次招标活动的采购单位。“采购代理机构”系指组织本次招标活动的机构，即“天津晟辰工程造价咨询有限公司”。</w:t>
      </w:r>
    </w:p>
    <w:p>
      <w:pPr>
        <w:spacing w:after="0" w:line="560" w:lineRule="exact"/>
        <w:rPr>
          <w:rFonts w:hint="eastAsia" w:ascii="宋体" w:hAnsi="宋体" w:eastAsia="宋体" w:cs="宋体"/>
          <w:color w:val="auto"/>
          <w:sz w:val="24"/>
          <w:szCs w:val="24"/>
        </w:rPr>
      </w:pPr>
      <w:r>
        <w:rPr>
          <w:rFonts w:hint="eastAsia" w:ascii="宋体" w:hAnsi="宋体" w:cs="宋体"/>
          <w:color w:val="auto"/>
          <w:sz w:val="24"/>
          <w:szCs w:val="24"/>
        </w:rPr>
        <w:t xml:space="preserve">2.2 </w:t>
      </w:r>
      <w:r>
        <w:rPr>
          <w:rFonts w:hint="eastAsia" w:ascii="宋体" w:hAnsi="宋体" w:eastAsia="宋体" w:cs="宋体"/>
          <w:color w:val="auto"/>
          <w:sz w:val="24"/>
          <w:szCs w:val="24"/>
        </w:rPr>
        <w:t>“供应商”系指向采购代理机构提交</w:t>
      </w:r>
      <w:r>
        <w:rPr>
          <w:rFonts w:hint="eastAsia" w:ascii="宋体" w:hAnsi="宋体" w:cs="宋体"/>
          <w:color w:val="auto"/>
          <w:sz w:val="24"/>
          <w:szCs w:val="24"/>
          <w:lang w:val="en-US" w:eastAsia="zh-CN"/>
        </w:rPr>
        <w:t>投标</w:t>
      </w:r>
      <w:r>
        <w:rPr>
          <w:rFonts w:hint="eastAsia" w:ascii="宋体" w:hAnsi="宋体" w:eastAsia="宋体" w:cs="宋体"/>
          <w:color w:val="auto"/>
          <w:sz w:val="24"/>
          <w:szCs w:val="24"/>
        </w:rPr>
        <w:t>文件的供应商。</w:t>
      </w:r>
    </w:p>
    <w:p>
      <w:pPr>
        <w:spacing w:after="0" w:line="560" w:lineRule="exact"/>
        <w:rPr>
          <w:rFonts w:ascii="宋体" w:hAnsi="宋体" w:cs="宋体"/>
          <w:color w:val="auto"/>
          <w:sz w:val="24"/>
          <w:szCs w:val="24"/>
        </w:rPr>
      </w:pPr>
      <w:r>
        <w:rPr>
          <w:rFonts w:hint="eastAsia" w:ascii="宋体" w:hAnsi="宋体" w:cs="宋体"/>
          <w:color w:val="auto"/>
          <w:sz w:val="24"/>
          <w:szCs w:val="24"/>
        </w:rPr>
        <w:t>2.3 “货物”系指</w:t>
      </w:r>
      <w:r>
        <w:rPr>
          <w:rFonts w:hint="eastAsia" w:ascii="宋体" w:hAnsi="宋体" w:cs="宋体"/>
          <w:color w:val="auto"/>
          <w:sz w:val="24"/>
          <w:szCs w:val="24"/>
          <w:lang w:eastAsia="zh-CN"/>
        </w:rPr>
        <w:t>供应商</w:t>
      </w:r>
      <w:r>
        <w:rPr>
          <w:rFonts w:hint="eastAsia" w:ascii="宋体" w:hAnsi="宋体" w:cs="宋体"/>
          <w:color w:val="auto"/>
          <w:sz w:val="24"/>
          <w:szCs w:val="24"/>
        </w:rPr>
        <w:t>按招标文件规定，须向采购人提供的各种形态和种类的物品（包括原材料、燃料、设备、产品等）、备品备件、工具、手册及其它有关技术资料和材料。</w:t>
      </w:r>
    </w:p>
    <w:p>
      <w:pPr>
        <w:spacing w:after="0" w:line="560" w:lineRule="exact"/>
        <w:rPr>
          <w:rFonts w:ascii="宋体" w:hAnsi="宋体" w:cs="宋体"/>
          <w:color w:val="auto"/>
          <w:sz w:val="24"/>
          <w:szCs w:val="24"/>
        </w:rPr>
      </w:pPr>
      <w:r>
        <w:rPr>
          <w:rFonts w:hint="eastAsia" w:ascii="宋体" w:hAnsi="宋体" w:cs="宋体"/>
          <w:color w:val="auto"/>
          <w:sz w:val="24"/>
          <w:szCs w:val="24"/>
        </w:rPr>
        <w:t>2.4 “服务”系指招标文件规定</w:t>
      </w:r>
      <w:r>
        <w:rPr>
          <w:rFonts w:hint="eastAsia" w:ascii="宋体" w:hAnsi="宋体" w:cs="宋体"/>
          <w:color w:val="auto"/>
          <w:sz w:val="24"/>
          <w:szCs w:val="24"/>
          <w:lang w:eastAsia="zh-CN"/>
        </w:rPr>
        <w:t>供应商</w:t>
      </w:r>
      <w:r>
        <w:rPr>
          <w:rFonts w:hint="eastAsia" w:ascii="宋体" w:hAnsi="宋体" w:cs="宋体"/>
          <w:color w:val="auto"/>
          <w:sz w:val="24"/>
          <w:szCs w:val="24"/>
        </w:rPr>
        <w:t>须承担的运输、安装、调试、技术协助、校准、培训、维修以及其它类似的义务。</w:t>
      </w:r>
    </w:p>
    <w:p>
      <w:pPr>
        <w:spacing w:after="0" w:line="560" w:lineRule="exact"/>
        <w:rPr>
          <w:rFonts w:ascii="宋体" w:hAnsi="宋体" w:cs="宋体"/>
          <w:color w:val="auto"/>
          <w:sz w:val="24"/>
          <w:szCs w:val="24"/>
        </w:rPr>
      </w:pPr>
      <w:r>
        <w:rPr>
          <w:rFonts w:hint="eastAsia" w:ascii="宋体" w:hAnsi="宋体" w:cs="宋体"/>
          <w:color w:val="auto"/>
          <w:sz w:val="24"/>
          <w:szCs w:val="24"/>
        </w:rPr>
        <w:t>3. 解释权</w:t>
      </w:r>
    </w:p>
    <w:p>
      <w:pPr>
        <w:spacing w:after="0" w:line="560" w:lineRule="exact"/>
        <w:rPr>
          <w:rFonts w:ascii="宋体" w:hAnsi="宋体" w:cs="宋体"/>
          <w:color w:val="auto"/>
          <w:sz w:val="24"/>
          <w:szCs w:val="24"/>
        </w:rPr>
      </w:pPr>
      <w:r>
        <w:rPr>
          <w:rFonts w:hint="eastAsia" w:ascii="宋体" w:hAnsi="宋体" w:cs="宋体"/>
          <w:color w:val="auto"/>
          <w:sz w:val="24"/>
          <w:szCs w:val="24"/>
        </w:rPr>
        <w:t>3.1 本次招投标的最终解释权归为采购人、采购代理机构。</w:t>
      </w:r>
    </w:p>
    <w:p>
      <w:pPr>
        <w:spacing w:after="0" w:line="560" w:lineRule="exact"/>
        <w:rPr>
          <w:rFonts w:ascii="宋体" w:hAnsi="宋体" w:cs="宋体"/>
          <w:color w:val="auto"/>
          <w:sz w:val="24"/>
          <w:szCs w:val="24"/>
        </w:rPr>
      </w:pPr>
      <w:r>
        <w:rPr>
          <w:rFonts w:hint="eastAsia" w:ascii="宋体" w:hAnsi="宋体" w:cs="宋体"/>
          <w:color w:val="auto"/>
          <w:sz w:val="24"/>
          <w:szCs w:val="24"/>
        </w:rPr>
        <w:t>3.2 本文件未作须知明示，而又有相关法律、法规规定的，采购人、采购代理机构将对此解释为依据有关法律、法规的规定。</w:t>
      </w:r>
    </w:p>
    <w:p>
      <w:pPr>
        <w:spacing w:after="0" w:line="560" w:lineRule="exact"/>
        <w:rPr>
          <w:rFonts w:hint="eastAsia" w:ascii="宋体" w:hAnsi="宋体" w:eastAsia="宋体" w:cs="宋体"/>
          <w:color w:val="auto"/>
          <w:sz w:val="24"/>
          <w:szCs w:val="24"/>
          <w:lang w:eastAsia="zh-CN"/>
        </w:rPr>
      </w:pPr>
      <w:r>
        <w:rPr>
          <w:rFonts w:hint="eastAsia" w:ascii="宋体" w:hAnsi="宋体" w:cs="宋体"/>
          <w:color w:val="auto"/>
          <w:sz w:val="24"/>
          <w:szCs w:val="24"/>
        </w:rPr>
        <w:t>4. 合格的</w:t>
      </w:r>
      <w:r>
        <w:rPr>
          <w:rFonts w:hint="eastAsia" w:ascii="宋体" w:hAnsi="宋体" w:cs="宋体"/>
          <w:color w:val="auto"/>
          <w:sz w:val="24"/>
          <w:szCs w:val="24"/>
          <w:lang w:eastAsia="zh-CN"/>
        </w:rPr>
        <w:t>供应商</w:t>
      </w:r>
    </w:p>
    <w:p>
      <w:pPr>
        <w:spacing w:after="0" w:line="560" w:lineRule="exact"/>
        <w:rPr>
          <w:rFonts w:ascii="宋体" w:hAnsi="宋体" w:cs="宋体"/>
          <w:color w:val="auto"/>
          <w:sz w:val="24"/>
          <w:szCs w:val="24"/>
        </w:rPr>
      </w:pPr>
      <w:r>
        <w:rPr>
          <w:rFonts w:hint="eastAsia" w:ascii="宋体" w:hAnsi="宋体" w:cs="宋体"/>
          <w:color w:val="auto"/>
          <w:sz w:val="24"/>
          <w:szCs w:val="24"/>
        </w:rPr>
        <w:t>4.1 符合《中华人民共和国政府采购法》第二十二条供应商参加政府采购活动应当具备的条件及其他有关法律、法规关于供应商的有关规定，有能力提供招标采购货物及服务的供应商。</w:t>
      </w:r>
    </w:p>
    <w:p>
      <w:pPr>
        <w:spacing w:after="0" w:line="560" w:lineRule="exact"/>
        <w:rPr>
          <w:rFonts w:ascii="宋体" w:hAnsi="宋体" w:cs="宋体"/>
          <w:color w:val="auto"/>
          <w:sz w:val="24"/>
          <w:szCs w:val="24"/>
        </w:rPr>
      </w:pPr>
      <w:r>
        <w:rPr>
          <w:rFonts w:hint="eastAsia" w:ascii="宋体" w:hAnsi="宋体" w:cs="宋体"/>
          <w:color w:val="auto"/>
          <w:sz w:val="24"/>
          <w:szCs w:val="24"/>
        </w:rPr>
        <w:t>4.2 符合《投标邀请函》中关于供应商资格要求（实质性要求）的规定。</w:t>
      </w:r>
    </w:p>
    <w:p>
      <w:pPr>
        <w:spacing w:after="0" w:line="560" w:lineRule="exact"/>
        <w:rPr>
          <w:rFonts w:ascii="宋体" w:hAnsi="宋体" w:cs="宋体"/>
          <w:color w:val="auto"/>
          <w:sz w:val="24"/>
          <w:szCs w:val="24"/>
        </w:rPr>
      </w:pPr>
      <w:r>
        <w:rPr>
          <w:rFonts w:hint="eastAsia" w:ascii="宋体" w:hAnsi="宋体" w:cs="宋体"/>
          <w:color w:val="auto"/>
          <w:sz w:val="24"/>
          <w:szCs w:val="24"/>
        </w:rPr>
        <w:t>4.3 关于联合体投标</w:t>
      </w:r>
    </w:p>
    <w:p>
      <w:pPr>
        <w:spacing w:after="0" w:line="560" w:lineRule="exact"/>
        <w:rPr>
          <w:rFonts w:ascii="宋体" w:hAnsi="宋体" w:cs="宋体"/>
          <w:color w:val="auto"/>
          <w:sz w:val="24"/>
          <w:szCs w:val="24"/>
        </w:rPr>
      </w:pPr>
      <w:r>
        <w:rPr>
          <w:rFonts w:hint="eastAsia" w:ascii="宋体" w:hAnsi="宋体" w:cs="宋体"/>
          <w:color w:val="auto"/>
          <w:sz w:val="24"/>
          <w:szCs w:val="24"/>
        </w:rPr>
        <w:t>若《投标邀请函》接受联合体投标的：</w:t>
      </w:r>
    </w:p>
    <w:p>
      <w:pPr>
        <w:spacing w:after="0" w:line="560" w:lineRule="exact"/>
        <w:rPr>
          <w:rFonts w:ascii="宋体" w:hAnsi="宋体" w:cs="宋体"/>
          <w:color w:val="auto"/>
          <w:sz w:val="24"/>
          <w:szCs w:val="24"/>
        </w:rPr>
      </w:pPr>
      <w:r>
        <w:rPr>
          <w:rFonts w:hint="eastAsia" w:ascii="宋体" w:hAnsi="宋体" w:cs="宋体"/>
          <w:color w:val="auto"/>
          <w:sz w:val="24"/>
          <w:szCs w:val="24"/>
        </w:rPr>
        <w:t>（1）两个以上的自然人、法人或者其他组织可以组成一个联合体，以一个供应商的身份共同参加政府采购。</w:t>
      </w:r>
    </w:p>
    <w:p>
      <w:pPr>
        <w:spacing w:after="0" w:line="560" w:lineRule="exact"/>
        <w:rPr>
          <w:rFonts w:ascii="宋体" w:hAnsi="宋体" w:cs="宋体"/>
          <w:color w:val="auto"/>
          <w:sz w:val="24"/>
          <w:szCs w:val="24"/>
        </w:rPr>
      </w:pPr>
      <w:r>
        <w:rPr>
          <w:rFonts w:hint="eastAsia" w:ascii="宋体" w:hAnsi="宋体" w:cs="宋体"/>
          <w:color w:val="auto"/>
          <w:sz w:val="24"/>
          <w:szCs w:val="24"/>
        </w:rPr>
        <w:t>（2）联合体各方均应当符合《政府采购法》第二十二条第一款规定的条件，根据采购项目的特殊要求规定</w:t>
      </w:r>
      <w:r>
        <w:rPr>
          <w:rFonts w:hint="eastAsia" w:ascii="宋体" w:hAnsi="宋体" w:cs="宋体"/>
          <w:color w:val="auto"/>
          <w:sz w:val="24"/>
          <w:szCs w:val="24"/>
          <w:lang w:eastAsia="zh-CN"/>
        </w:rPr>
        <w:t>供应商</w:t>
      </w:r>
      <w:r>
        <w:rPr>
          <w:rFonts w:hint="eastAsia" w:ascii="宋体" w:hAnsi="宋体" w:cs="宋体"/>
          <w:color w:val="auto"/>
          <w:sz w:val="24"/>
          <w:szCs w:val="24"/>
        </w:rPr>
        <w:t>特定条件的，联合体各方中至少应当有一方符合《投标邀请函》规定的供应商资格条件（实质性要求）。</w:t>
      </w:r>
    </w:p>
    <w:p>
      <w:pPr>
        <w:spacing w:after="0" w:line="560" w:lineRule="exact"/>
        <w:rPr>
          <w:rFonts w:ascii="宋体" w:hAnsi="宋体" w:cs="宋体"/>
          <w:color w:val="auto"/>
          <w:sz w:val="24"/>
          <w:szCs w:val="24"/>
        </w:rPr>
      </w:pPr>
      <w:r>
        <w:rPr>
          <w:rFonts w:hint="eastAsia" w:ascii="宋体" w:hAnsi="宋体" w:cs="宋体"/>
          <w:color w:val="auto"/>
          <w:sz w:val="24"/>
          <w:szCs w:val="24"/>
        </w:rPr>
        <w:t>（3）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pPr>
        <w:spacing w:after="0" w:line="560" w:lineRule="exact"/>
        <w:rPr>
          <w:rFonts w:ascii="宋体" w:hAnsi="宋体" w:cs="宋体"/>
          <w:color w:val="auto"/>
          <w:sz w:val="24"/>
          <w:szCs w:val="24"/>
        </w:rPr>
      </w:pPr>
      <w:r>
        <w:rPr>
          <w:rFonts w:hint="eastAsia" w:ascii="宋体" w:hAnsi="宋体" w:cs="宋体"/>
          <w:color w:val="auto"/>
          <w:sz w:val="24"/>
          <w:szCs w:val="24"/>
        </w:rPr>
        <w:t>（4）投标报名时，应以联合体协议中确定的主体方名义报名。</w:t>
      </w:r>
    </w:p>
    <w:p>
      <w:pPr>
        <w:spacing w:after="0" w:line="560" w:lineRule="exact"/>
        <w:rPr>
          <w:rFonts w:ascii="宋体" w:hAnsi="宋体" w:cs="宋体"/>
          <w:color w:val="auto"/>
          <w:sz w:val="24"/>
          <w:szCs w:val="24"/>
        </w:rPr>
      </w:pPr>
      <w:r>
        <w:rPr>
          <w:rFonts w:hint="eastAsia" w:ascii="宋体" w:hAnsi="宋体" w:cs="宋体"/>
          <w:color w:val="auto"/>
          <w:sz w:val="24"/>
          <w:szCs w:val="24"/>
        </w:rPr>
        <w:t>（5）联合体投标的，应以主体方名义提交投标保证金（如有），对联合体各方均具有约束力。</w:t>
      </w:r>
    </w:p>
    <w:p>
      <w:pPr>
        <w:spacing w:after="0" w:line="560" w:lineRule="exact"/>
        <w:rPr>
          <w:rFonts w:ascii="宋体" w:hAnsi="宋体" w:cs="宋体"/>
          <w:color w:val="auto"/>
          <w:sz w:val="24"/>
          <w:szCs w:val="24"/>
        </w:rPr>
      </w:pPr>
      <w:r>
        <w:rPr>
          <w:rFonts w:hint="eastAsia" w:ascii="宋体" w:hAnsi="宋体" w:cs="宋体"/>
          <w:color w:val="auto"/>
          <w:sz w:val="24"/>
          <w:szCs w:val="24"/>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spacing w:after="0" w:line="560" w:lineRule="exact"/>
        <w:rPr>
          <w:rFonts w:ascii="宋体" w:hAnsi="宋体" w:cs="宋体"/>
          <w:color w:val="auto"/>
          <w:sz w:val="24"/>
          <w:szCs w:val="24"/>
        </w:rPr>
      </w:pPr>
      <w:r>
        <w:rPr>
          <w:rFonts w:hint="eastAsia" w:ascii="宋体" w:hAnsi="宋体" w:cs="宋体"/>
          <w:color w:val="auto"/>
          <w:sz w:val="24"/>
          <w:szCs w:val="24"/>
        </w:rPr>
        <w:t>（7）联合体各方应当共同与采购人签订采购合同，就采购合同约定的事项对采购人承担连带责任。</w:t>
      </w:r>
    </w:p>
    <w:p>
      <w:pPr>
        <w:spacing w:after="0" w:line="560" w:lineRule="exact"/>
        <w:rPr>
          <w:rFonts w:ascii="宋体" w:hAnsi="宋体" w:cs="宋体"/>
          <w:color w:val="auto"/>
          <w:sz w:val="24"/>
          <w:szCs w:val="24"/>
        </w:rPr>
      </w:pPr>
      <w:r>
        <w:rPr>
          <w:rFonts w:hint="eastAsia" w:ascii="宋体" w:hAnsi="宋体" w:cs="宋体"/>
          <w:color w:val="auto"/>
          <w:sz w:val="24"/>
          <w:szCs w:val="24"/>
        </w:rPr>
        <w:t>4.4 关于关联企业</w:t>
      </w:r>
    </w:p>
    <w:p>
      <w:pPr>
        <w:spacing w:after="0" w:line="560" w:lineRule="exact"/>
        <w:rPr>
          <w:rFonts w:ascii="宋体" w:hAnsi="宋体" w:cs="宋体"/>
          <w:color w:val="auto"/>
          <w:sz w:val="24"/>
          <w:szCs w:val="24"/>
        </w:rPr>
      </w:pPr>
      <w:r>
        <w:rPr>
          <w:rFonts w:hint="eastAsia" w:ascii="宋体" w:hAnsi="宋体" w:cs="宋体"/>
          <w:color w:val="auto"/>
          <w:sz w:val="24"/>
          <w:szCs w:val="24"/>
        </w:rPr>
        <w:t>除联合体外，法定代表人或单位负责人为同一个人或者存在直接控股、管理关系的不同供应商，不得同时参加同一项目或同一子项目的投标。如同时参加，则评审时将同时被拒绝。</w:t>
      </w:r>
    </w:p>
    <w:p>
      <w:pPr>
        <w:spacing w:after="0" w:line="560" w:lineRule="exact"/>
        <w:rPr>
          <w:rFonts w:ascii="宋体" w:hAnsi="宋体" w:cs="宋体"/>
          <w:color w:val="auto"/>
          <w:sz w:val="24"/>
          <w:szCs w:val="24"/>
        </w:rPr>
      </w:pPr>
      <w:r>
        <w:rPr>
          <w:rFonts w:hint="eastAsia" w:ascii="宋体" w:hAnsi="宋体" w:cs="宋体"/>
          <w:color w:val="auto"/>
          <w:sz w:val="24"/>
          <w:szCs w:val="24"/>
        </w:rPr>
        <w:t>4.5 关于分公司投标</w:t>
      </w:r>
    </w:p>
    <w:p>
      <w:pPr>
        <w:spacing w:after="0" w:line="560" w:lineRule="exact"/>
        <w:rPr>
          <w:rFonts w:ascii="宋体" w:hAnsi="宋体" w:cs="宋体"/>
          <w:color w:val="auto"/>
          <w:sz w:val="24"/>
          <w:szCs w:val="24"/>
        </w:rPr>
      </w:pPr>
      <w:r>
        <w:rPr>
          <w:rFonts w:hint="eastAsia" w:ascii="宋体" w:hAnsi="宋体" w:cs="宋体"/>
          <w:color w:val="auto"/>
          <w:sz w:val="24"/>
          <w:szCs w:val="24"/>
        </w:rPr>
        <w:t>分公司作为</w:t>
      </w:r>
      <w:r>
        <w:rPr>
          <w:rFonts w:hint="eastAsia" w:ascii="宋体" w:hAnsi="宋体" w:cs="宋体"/>
          <w:color w:val="auto"/>
          <w:sz w:val="24"/>
          <w:szCs w:val="24"/>
          <w:lang w:eastAsia="zh-CN"/>
        </w:rPr>
        <w:t>供应商</w:t>
      </w:r>
      <w:r>
        <w:rPr>
          <w:rFonts w:hint="eastAsia" w:ascii="宋体" w:hAnsi="宋体" w:cs="宋体"/>
          <w:color w:val="auto"/>
          <w:sz w:val="24"/>
          <w:szCs w:val="24"/>
        </w:rPr>
        <w:t>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spacing w:after="0" w:line="560" w:lineRule="exact"/>
        <w:rPr>
          <w:rFonts w:ascii="宋体" w:hAnsi="宋体" w:cs="宋体"/>
          <w:color w:val="auto"/>
          <w:sz w:val="24"/>
          <w:szCs w:val="24"/>
        </w:rPr>
      </w:pPr>
      <w:r>
        <w:rPr>
          <w:rFonts w:hint="eastAsia" w:ascii="宋体" w:hAnsi="宋体" w:cs="宋体"/>
          <w:color w:val="auto"/>
          <w:sz w:val="24"/>
          <w:szCs w:val="24"/>
        </w:rPr>
        <w:t>4.6 关于提供前期服务的供应商</w:t>
      </w:r>
    </w:p>
    <w:p>
      <w:pPr>
        <w:spacing w:after="0" w:line="560" w:lineRule="exact"/>
        <w:rPr>
          <w:rFonts w:ascii="宋体" w:hAnsi="宋体" w:cs="宋体"/>
          <w:color w:val="auto"/>
          <w:sz w:val="24"/>
          <w:szCs w:val="24"/>
        </w:rPr>
      </w:pPr>
      <w:r>
        <w:rPr>
          <w:rFonts w:hint="eastAsia" w:ascii="宋体" w:hAnsi="宋体" w:cs="宋体"/>
          <w:color w:val="auto"/>
          <w:sz w:val="24"/>
          <w:szCs w:val="24"/>
        </w:rPr>
        <w:t>为采购项目提供整体设计、规范编制或者项目管理、监理、检测等服务的供应商，不得再参加该采购项目的其他采购活动。</w:t>
      </w:r>
    </w:p>
    <w:p>
      <w:pPr>
        <w:spacing w:after="0" w:line="560" w:lineRule="exact"/>
        <w:rPr>
          <w:rFonts w:ascii="宋体" w:hAnsi="宋体" w:cs="宋体"/>
          <w:color w:val="auto"/>
          <w:sz w:val="24"/>
          <w:szCs w:val="24"/>
        </w:rPr>
      </w:pPr>
      <w:r>
        <w:rPr>
          <w:rFonts w:hint="eastAsia" w:ascii="宋体" w:hAnsi="宋体" w:cs="宋体"/>
          <w:color w:val="auto"/>
          <w:sz w:val="24"/>
          <w:szCs w:val="24"/>
        </w:rPr>
        <w:t>4.7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spacing w:after="0" w:line="560" w:lineRule="exact"/>
        <w:rPr>
          <w:rFonts w:ascii="宋体" w:hAnsi="宋体" w:cs="宋体"/>
          <w:color w:val="auto"/>
          <w:sz w:val="24"/>
          <w:szCs w:val="24"/>
        </w:rPr>
      </w:pPr>
      <w:r>
        <w:rPr>
          <w:rFonts w:hint="eastAsia" w:ascii="宋体" w:hAnsi="宋体" w:cs="宋体"/>
          <w:color w:val="auto"/>
          <w:sz w:val="24"/>
          <w:szCs w:val="24"/>
        </w:rPr>
        <w:t>根据《财政部民政部中国残疾人联合会关于促进残疾人就业政府采购政策的通知》（财库〔2017〕141号）的规定，残疾人福利性单位视同为小型、微型企业。</w:t>
      </w:r>
    </w:p>
    <w:p>
      <w:pPr>
        <w:spacing w:after="0" w:line="560" w:lineRule="exact"/>
        <w:rPr>
          <w:rFonts w:ascii="宋体" w:hAnsi="宋体" w:cs="宋体"/>
          <w:color w:val="auto"/>
          <w:sz w:val="24"/>
          <w:szCs w:val="24"/>
        </w:rPr>
      </w:pPr>
      <w:r>
        <w:rPr>
          <w:rFonts w:hint="eastAsia" w:ascii="宋体" w:hAnsi="宋体" w:cs="宋体"/>
          <w:color w:val="auto"/>
          <w:sz w:val="24"/>
          <w:szCs w:val="24"/>
        </w:rPr>
        <w:t>5. 合格的货物和相关服务</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5.1 </w:t>
      </w:r>
      <w:r>
        <w:rPr>
          <w:rFonts w:hint="eastAsia" w:ascii="宋体" w:hAnsi="宋体" w:cs="宋体"/>
          <w:color w:val="auto"/>
          <w:sz w:val="24"/>
          <w:szCs w:val="24"/>
          <w:lang w:eastAsia="zh-CN"/>
        </w:rPr>
        <w:t>供应商</w:t>
      </w:r>
      <w:r>
        <w:rPr>
          <w:rFonts w:hint="eastAsia" w:ascii="宋体" w:hAnsi="宋体" w:cs="宋体"/>
          <w:color w:val="auto"/>
          <w:sz w:val="24"/>
          <w:szCs w:val="24"/>
        </w:rPr>
        <w:t>对所提供的货物应当享有合法的所有权，没有侵犯任何第三方的知识产权、技术秘密等权利，而且不存在任何抵押、留置、查封等产权瑕疵。如有第三方向采购人提出侵犯其专利权、商标权或其它知识产权的主张，该责任应由</w:t>
      </w:r>
      <w:r>
        <w:rPr>
          <w:rFonts w:hint="eastAsia" w:ascii="宋体" w:hAnsi="宋体" w:cs="宋体"/>
          <w:color w:val="auto"/>
          <w:sz w:val="24"/>
          <w:szCs w:val="24"/>
          <w:lang w:eastAsia="zh-CN"/>
        </w:rPr>
        <w:t>供应商</w:t>
      </w:r>
      <w:r>
        <w:rPr>
          <w:rFonts w:hint="eastAsia" w:ascii="宋体" w:hAnsi="宋体" w:cs="宋体"/>
          <w:color w:val="auto"/>
          <w:sz w:val="24"/>
          <w:szCs w:val="24"/>
        </w:rPr>
        <w:t>承担。</w:t>
      </w:r>
    </w:p>
    <w:p>
      <w:pPr>
        <w:spacing w:after="0" w:line="560" w:lineRule="exact"/>
        <w:rPr>
          <w:rFonts w:ascii="宋体" w:hAnsi="宋体" w:cs="宋体"/>
          <w:color w:val="auto"/>
          <w:sz w:val="24"/>
          <w:szCs w:val="24"/>
        </w:rPr>
      </w:pPr>
      <w:r>
        <w:rPr>
          <w:rFonts w:hint="eastAsia" w:ascii="宋体" w:hAnsi="宋体" w:cs="宋体"/>
          <w:color w:val="auto"/>
          <w:sz w:val="24"/>
          <w:szCs w:val="24"/>
        </w:rPr>
        <w:t>5.2</w:t>
      </w:r>
      <w:r>
        <w:rPr>
          <w:rFonts w:hint="eastAsia" w:ascii="宋体" w:hAnsi="宋体" w:cs="宋体"/>
          <w:color w:val="auto"/>
          <w:sz w:val="24"/>
          <w:szCs w:val="24"/>
          <w:lang w:eastAsia="zh-CN"/>
        </w:rPr>
        <w:t>供应商</w:t>
      </w:r>
      <w:r>
        <w:rPr>
          <w:rFonts w:hint="eastAsia" w:ascii="宋体" w:hAnsi="宋体" w:cs="宋体"/>
          <w:color w:val="auto"/>
          <w:sz w:val="24"/>
          <w:szCs w:val="24"/>
        </w:rPr>
        <w:t>提供的货物质量应当完全符合现行的国家标准、行业标准或地方标准。除《招标项目需求》有特殊规定外，</w:t>
      </w:r>
      <w:r>
        <w:rPr>
          <w:rFonts w:hint="eastAsia" w:ascii="宋体" w:hAnsi="宋体" w:cs="宋体"/>
          <w:color w:val="auto"/>
          <w:sz w:val="24"/>
          <w:szCs w:val="24"/>
          <w:lang w:eastAsia="zh-CN"/>
        </w:rPr>
        <w:t>供应商</w:t>
      </w:r>
      <w:r>
        <w:rPr>
          <w:rFonts w:hint="eastAsia" w:ascii="宋体" w:hAnsi="宋体" w:cs="宋体"/>
          <w:color w:val="auto"/>
          <w:sz w:val="24"/>
          <w:szCs w:val="24"/>
        </w:rPr>
        <w:t>提供的货物应当是全新的、未使用过的，货物和相关服务应当符合招标文件的要求。</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5.3 </w:t>
      </w:r>
      <w:r>
        <w:rPr>
          <w:rFonts w:hint="eastAsia" w:ascii="宋体" w:hAnsi="宋体" w:cs="宋体"/>
          <w:color w:val="auto"/>
          <w:sz w:val="24"/>
          <w:szCs w:val="24"/>
          <w:lang w:eastAsia="zh-CN"/>
        </w:rPr>
        <w:t>供应商</w:t>
      </w:r>
      <w:r>
        <w:rPr>
          <w:rFonts w:hint="eastAsia" w:ascii="宋体" w:hAnsi="宋体" w:cs="宋体"/>
          <w:color w:val="auto"/>
          <w:sz w:val="24"/>
          <w:szCs w:val="24"/>
        </w:rPr>
        <w:t>应当说明投标货物的来源地，如投标的货物非</w:t>
      </w:r>
      <w:r>
        <w:rPr>
          <w:rFonts w:hint="eastAsia" w:ascii="宋体" w:hAnsi="宋体" w:cs="宋体"/>
          <w:color w:val="auto"/>
          <w:sz w:val="24"/>
          <w:szCs w:val="24"/>
          <w:lang w:eastAsia="zh-CN"/>
        </w:rPr>
        <w:t>供应商</w:t>
      </w:r>
      <w:r>
        <w:rPr>
          <w:rFonts w:hint="eastAsia" w:ascii="宋体" w:hAnsi="宋体" w:cs="宋体"/>
          <w:color w:val="auto"/>
          <w:sz w:val="24"/>
          <w:szCs w:val="24"/>
        </w:rPr>
        <w:t>生产或制造的，则交货时有义务提供其从合法途径获得该货物的相关证明。</w:t>
      </w:r>
    </w:p>
    <w:p>
      <w:pPr>
        <w:spacing w:after="0" w:line="560" w:lineRule="exact"/>
        <w:rPr>
          <w:rFonts w:ascii="宋体" w:hAnsi="宋体" w:cs="宋体"/>
          <w:color w:val="auto"/>
          <w:sz w:val="24"/>
          <w:szCs w:val="24"/>
        </w:rPr>
      </w:pPr>
      <w:r>
        <w:rPr>
          <w:rFonts w:hint="eastAsia" w:ascii="宋体" w:hAnsi="宋体" w:cs="宋体"/>
          <w:color w:val="auto"/>
          <w:sz w:val="24"/>
          <w:szCs w:val="24"/>
        </w:rPr>
        <w:t>5.4 系统软件、通用软件必须是具有在中国境内的合法使用权或版权的正版软件，涉及到第三方提出侵权或知识产权的起诉及支付版税等费用由</w:t>
      </w:r>
      <w:r>
        <w:rPr>
          <w:rFonts w:hint="eastAsia" w:ascii="宋体" w:hAnsi="宋体" w:cs="宋体"/>
          <w:color w:val="auto"/>
          <w:sz w:val="24"/>
          <w:szCs w:val="24"/>
          <w:lang w:eastAsia="zh-CN"/>
        </w:rPr>
        <w:t>供应商</w:t>
      </w:r>
      <w:r>
        <w:rPr>
          <w:rFonts w:hint="eastAsia" w:ascii="宋体" w:hAnsi="宋体" w:cs="宋体"/>
          <w:color w:val="auto"/>
          <w:sz w:val="24"/>
          <w:szCs w:val="24"/>
        </w:rPr>
        <w:t>承担所有责任及费用。</w:t>
      </w:r>
    </w:p>
    <w:p>
      <w:pPr>
        <w:spacing w:after="0" w:line="560" w:lineRule="exact"/>
        <w:rPr>
          <w:rFonts w:ascii="宋体" w:hAnsi="宋体" w:cs="宋体"/>
          <w:color w:val="auto"/>
          <w:sz w:val="24"/>
          <w:szCs w:val="24"/>
        </w:rPr>
      </w:pPr>
      <w:r>
        <w:rPr>
          <w:rFonts w:hint="eastAsia" w:ascii="宋体" w:hAnsi="宋体" w:cs="宋体"/>
          <w:color w:val="auto"/>
          <w:sz w:val="24"/>
          <w:szCs w:val="24"/>
        </w:rPr>
        <w:t>6. 投标费用</w:t>
      </w:r>
    </w:p>
    <w:p>
      <w:pPr>
        <w:spacing w:after="0" w:line="560" w:lineRule="exact"/>
        <w:rPr>
          <w:rFonts w:ascii="宋体" w:hAnsi="宋体" w:cs="宋体"/>
          <w:color w:val="auto"/>
          <w:sz w:val="24"/>
          <w:szCs w:val="24"/>
        </w:rPr>
      </w:pPr>
      <w:r>
        <w:rPr>
          <w:rFonts w:hint="eastAsia" w:ascii="宋体" w:hAnsi="宋体" w:cs="宋体"/>
          <w:color w:val="auto"/>
          <w:sz w:val="24"/>
          <w:szCs w:val="24"/>
        </w:rPr>
        <w:t>6.1 本项目收取投标服务费，具体详见招标文件第二部分。</w:t>
      </w:r>
    </w:p>
    <w:p>
      <w:pPr>
        <w:spacing w:after="0" w:line="560" w:lineRule="exact"/>
        <w:rPr>
          <w:rFonts w:ascii="宋体" w:hAnsi="宋体" w:cs="宋体"/>
          <w:color w:val="auto"/>
          <w:sz w:val="24"/>
          <w:szCs w:val="24"/>
        </w:rPr>
      </w:pPr>
      <w:r>
        <w:rPr>
          <w:rFonts w:hint="eastAsia" w:ascii="宋体" w:hAnsi="宋体" w:cs="宋体"/>
          <w:color w:val="auto"/>
          <w:sz w:val="24"/>
          <w:szCs w:val="24"/>
        </w:rPr>
        <w:t>6.2 无论投标过程中的做法和结果如何，</w:t>
      </w:r>
      <w:r>
        <w:rPr>
          <w:rFonts w:hint="eastAsia" w:ascii="宋体" w:hAnsi="宋体" w:cs="宋体"/>
          <w:color w:val="auto"/>
          <w:sz w:val="24"/>
          <w:szCs w:val="24"/>
          <w:lang w:eastAsia="zh-CN"/>
        </w:rPr>
        <w:t>供应商</w:t>
      </w:r>
      <w:r>
        <w:rPr>
          <w:rFonts w:hint="eastAsia" w:ascii="宋体" w:hAnsi="宋体" w:cs="宋体"/>
          <w:color w:val="auto"/>
          <w:sz w:val="24"/>
          <w:szCs w:val="24"/>
        </w:rPr>
        <w:t>自行承担所有与参加投标有关的费用。</w:t>
      </w:r>
    </w:p>
    <w:p>
      <w:pPr>
        <w:spacing w:after="0" w:line="560" w:lineRule="exact"/>
        <w:rPr>
          <w:rFonts w:ascii="宋体" w:hAnsi="宋体" w:cs="宋体"/>
          <w:color w:val="auto"/>
          <w:sz w:val="24"/>
          <w:szCs w:val="24"/>
        </w:rPr>
      </w:pPr>
      <w:r>
        <w:rPr>
          <w:rFonts w:hint="eastAsia" w:ascii="宋体" w:hAnsi="宋体" w:cs="宋体"/>
          <w:color w:val="auto"/>
          <w:sz w:val="24"/>
          <w:szCs w:val="24"/>
        </w:rPr>
        <w:t>7. 信息发布</w:t>
      </w:r>
    </w:p>
    <w:p>
      <w:pPr>
        <w:spacing w:after="0" w:line="560" w:lineRule="exact"/>
        <w:rPr>
          <w:rFonts w:ascii="宋体" w:hAnsi="宋体" w:cs="宋体"/>
          <w:color w:val="auto"/>
          <w:sz w:val="24"/>
          <w:szCs w:val="24"/>
        </w:rPr>
      </w:pPr>
      <w:r>
        <w:rPr>
          <w:rFonts w:hint="eastAsia" w:ascii="宋体" w:hAnsi="宋体" w:cs="宋体"/>
          <w:color w:val="auto"/>
          <w:sz w:val="24"/>
          <w:szCs w:val="24"/>
        </w:rPr>
        <w:t>本项目需要公开的有关信息，包括招标公告、更正公告、中标公告、终止公告等与招标活动有关的通知，采购人、采购代理机构将通过“天津</w:t>
      </w:r>
      <w:r>
        <w:rPr>
          <w:rFonts w:hint="eastAsia" w:ascii="宋体" w:hAnsi="宋体" w:cs="宋体"/>
          <w:color w:val="auto"/>
          <w:sz w:val="24"/>
          <w:szCs w:val="24"/>
          <w:lang w:val="en-US" w:eastAsia="zh-CN"/>
        </w:rPr>
        <w:t>市</w:t>
      </w:r>
      <w:r>
        <w:rPr>
          <w:rFonts w:hint="eastAsia" w:ascii="宋体" w:hAnsi="宋体" w:cs="宋体"/>
          <w:color w:val="auto"/>
          <w:sz w:val="24"/>
          <w:szCs w:val="24"/>
        </w:rPr>
        <w:t>政府采购网（www.ccgp-tianjin.gov.cn）”公开发布。</w:t>
      </w:r>
      <w:r>
        <w:rPr>
          <w:rFonts w:hint="eastAsia" w:ascii="宋体" w:hAnsi="宋体" w:cs="宋体"/>
          <w:color w:val="auto"/>
          <w:sz w:val="24"/>
          <w:szCs w:val="24"/>
          <w:lang w:eastAsia="zh-CN"/>
        </w:rPr>
        <w:t>供应商</w:t>
      </w:r>
      <w:r>
        <w:rPr>
          <w:rFonts w:hint="eastAsia" w:ascii="宋体" w:hAnsi="宋体" w:cs="宋体"/>
          <w:color w:val="auto"/>
          <w:sz w:val="24"/>
          <w:szCs w:val="24"/>
        </w:rPr>
        <w:t>在参与本采购项目招投标活动期间，请及时关注。因没有及时关注而未能如期获取相关信息，</w:t>
      </w:r>
      <w:r>
        <w:rPr>
          <w:rFonts w:hint="eastAsia" w:ascii="宋体" w:hAnsi="宋体" w:cs="宋体"/>
          <w:color w:val="auto"/>
          <w:sz w:val="24"/>
          <w:szCs w:val="24"/>
          <w:lang w:eastAsia="zh-CN"/>
        </w:rPr>
        <w:t>供应商</w:t>
      </w:r>
      <w:r>
        <w:rPr>
          <w:rFonts w:hint="eastAsia" w:ascii="宋体" w:hAnsi="宋体" w:cs="宋体"/>
          <w:color w:val="auto"/>
          <w:sz w:val="24"/>
          <w:szCs w:val="24"/>
        </w:rPr>
        <w:t>自行承担由此可能产生的风险。</w:t>
      </w:r>
    </w:p>
    <w:p>
      <w:pPr>
        <w:spacing w:after="0" w:line="560" w:lineRule="exact"/>
        <w:rPr>
          <w:rFonts w:ascii="宋体" w:hAnsi="宋体" w:cs="宋体"/>
          <w:color w:val="auto"/>
          <w:sz w:val="24"/>
          <w:szCs w:val="24"/>
        </w:rPr>
      </w:pPr>
      <w:r>
        <w:rPr>
          <w:rFonts w:hint="eastAsia" w:ascii="宋体" w:hAnsi="宋体" w:cs="宋体"/>
          <w:color w:val="auto"/>
          <w:sz w:val="24"/>
          <w:szCs w:val="24"/>
        </w:rPr>
        <w:t>8. 询问与质疑</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8.1 </w:t>
      </w:r>
      <w:r>
        <w:rPr>
          <w:rFonts w:hint="eastAsia" w:ascii="宋体" w:hAnsi="宋体" w:cs="宋体"/>
          <w:color w:val="auto"/>
          <w:sz w:val="24"/>
          <w:szCs w:val="24"/>
          <w:lang w:eastAsia="zh-CN"/>
        </w:rPr>
        <w:t>供应商</w:t>
      </w:r>
      <w:r>
        <w:rPr>
          <w:rFonts w:hint="eastAsia" w:ascii="宋体" w:hAnsi="宋体" w:cs="宋体"/>
          <w:color w:val="auto"/>
          <w:sz w:val="24"/>
          <w:szCs w:val="24"/>
        </w:rPr>
        <w:t>对招标活动事项有疑问的，可以向采购人、采购代理机构提出询问。询问可以采取电话、当面或书面等形式。对</w:t>
      </w:r>
      <w:r>
        <w:rPr>
          <w:rFonts w:hint="eastAsia" w:ascii="宋体" w:hAnsi="宋体" w:cs="宋体"/>
          <w:color w:val="auto"/>
          <w:sz w:val="24"/>
          <w:szCs w:val="24"/>
          <w:lang w:eastAsia="zh-CN"/>
        </w:rPr>
        <w:t>供应商</w:t>
      </w:r>
      <w:r>
        <w:rPr>
          <w:rFonts w:hint="eastAsia" w:ascii="宋体" w:hAnsi="宋体" w:cs="宋体"/>
          <w:color w:val="auto"/>
          <w:sz w:val="24"/>
          <w:szCs w:val="24"/>
        </w:rPr>
        <w:t>的询问，采购人、采购代理机构将依法及时作出答复，但答复的内容不涉及商业秘密或者依法应当保密的内容。</w:t>
      </w:r>
    </w:p>
    <w:p>
      <w:pPr>
        <w:spacing w:after="0" w:line="560" w:lineRule="exact"/>
        <w:rPr>
          <w:rFonts w:ascii="宋体" w:hAnsi="宋体" w:cs="宋体"/>
          <w:color w:val="auto"/>
          <w:sz w:val="24"/>
          <w:szCs w:val="24"/>
        </w:rPr>
      </w:pPr>
      <w:r>
        <w:rPr>
          <w:rFonts w:hint="eastAsia" w:ascii="宋体" w:hAnsi="宋体" w:cs="宋体"/>
          <w:color w:val="auto"/>
          <w:sz w:val="24"/>
          <w:szCs w:val="24"/>
        </w:rPr>
        <w:t>8.2 供应商认为招标文件、采购过程和中标结果使自己的权益受到损害的，可以在知道或者应知其权益受到损害之日起七个工作日内</w:t>
      </w:r>
      <w:r>
        <w:rPr>
          <w:rFonts w:hint="eastAsia" w:ascii="宋体" w:hAnsi="宋体" w:eastAsia="宋体" w:cs="宋体"/>
          <w:color w:val="auto"/>
          <w:sz w:val="24"/>
          <w:szCs w:val="24"/>
          <w:lang w:val="en-US" w:eastAsia="zh-CN"/>
        </w:rPr>
        <w:t>一次性提出针对同一采购程序环节的质疑</w:t>
      </w:r>
      <w:r>
        <w:rPr>
          <w:rFonts w:hint="eastAsia" w:ascii="宋体" w:hAnsi="宋体" w:eastAsia="宋体" w:cs="宋体"/>
          <w:color w:val="auto"/>
          <w:sz w:val="24"/>
          <w:szCs w:val="24"/>
        </w:rPr>
        <w:t>，</w:t>
      </w:r>
      <w:r>
        <w:rPr>
          <w:rFonts w:hint="eastAsia" w:ascii="宋体" w:hAnsi="宋体" w:cs="宋体"/>
          <w:color w:val="auto"/>
          <w:sz w:val="24"/>
          <w:szCs w:val="24"/>
        </w:rPr>
        <w:t>以书面原件形式向采购人和天津晟辰工程造价咨询有限公司提出质疑，逾期质疑无效。供应商应知其权益受到损害之日是指：</w:t>
      </w:r>
    </w:p>
    <w:p>
      <w:pPr>
        <w:spacing w:after="0" w:line="560" w:lineRule="exact"/>
        <w:rPr>
          <w:rFonts w:ascii="宋体" w:hAnsi="宋体" w:cs="宋体"/>
          <w:color w:val="auto"/>
          <w:sz w:val="24"/>
          <w:szCs w:val="24"/>
        </w:rPr>
      </w:pPr>
      <w:r>
        <w:rPr>
          <w:rFonts w:hint="eastAsia" w:ascii="宋体" w:hAnsi="宋体" w:cs="宋体"/>
          <w:color w:val="auto"/>
          <w:sz w:val="24"/>
          <w:szCs w:val="24"/>
        </w:rPr>
        <w:t>（1）对招标文件提出质疑的，为收到或下载招标文件之日或者招标文件公告期限届满之日；</w:t>
      </w:r>
    </w:p>
    <w:p>
      <w:pPr>
        <w:spacing w:after="0" w:line="560" w:lineRule="exact"/>
        <w:rPr>
          <w:rFonts w:ascii="宋体" w:hAnsi="宋体" w:cs="宋体"/>
          <w:color w:val="auto"/>
          <w:sz w:val="24"/>
          <w:szCs w:val="24"/>
        </w:rPr>
      </w:pPr>
      <w:r>
        <w:rPr>
          <w:rFonts w:hint="eastAsia" w:ascii="宋体" w:hAnsi="宋体" w:cs="宋体"/>
          <w:color w:val="auto"/>
          <w:sz w:val="24"/>
          <w:szCs w:val="24"/>
        </w:rPr>
        <w:t>（2）对采购过程提出质疑的，为各采购程序环节结束之日；</w:t>
      </w:r>
    </w:p>
    <w:p>
      <w:pPr>
        <w:spacing w:after="0" w:line="560" w:lineRule="exact"/>
        <w:rPr>
          <w:rFonts w:ascii="宋体" w:hAnsi="宋体" w:cs="宋体"/>
          <w:color w:val="auto"/>
          <w:sz w:val="24"/>
          <w:szCs w:val="24"/>
        </w:rPr>
      </w:pPr>
      <w:r>
        <w:rPr>
          <w:rFonts w:hint="eastAsia" w:ascii="宋体" w:hAnsi="宋体" w:cs="宋体"/>
          <w:color w:val="auto"/>
          <w:sz w:val="24"/>
          <w:szCs w:val="24"/>
        </w:rPr>
        <w:t>（3）对中标结果提出质疑的，为中标结果公告期限届满之日。</w:t>
      </w:r>
    </w:p>
    <w:p>
      <w:pPr>
        <w:spacing w:after="0" w:line="560" w:lineRule="exact"/>
        <w:rPr>
          <w:rFonts w:ascii="宋体" w:hAnsi="宋体" w:cs="宋体"/>
          <w:color w:val="auto"/>
          <w:sz w:val="24"/>
          <w:szCs w:val="24"/>
        </w:rPr>
      </w:pPr>
      <w:r>
        <w:rPr>
          <w:rFonts w:hint="eastAsia" w:ascii="宋体" w:hAnsi="宋体" w:cs="宋体"/>
          <w:color w:val="auto"/>
          <w:sz w:val="24"/>
          <w:szCs w:val="24"/>
        </w:rPr>
        <w:t>8.3 质疑书按照《关于规范政府采购供应商质疑处理工作有关事项的通知》（津财采[2010]14号）的要求和格式提出，应明确阐述招标文件、采购过程、中标结果使自己的合法权益受到损害的法律依据、事实依据、相关证明材料及证据来源，以便于有关单位调查、答复和处理。</w:t>
      </w:r>
    </w:p>
    <w:p>
      <w:pPr>
        <w:spacing w:after="0" w:line="560" w:lineRule="exact"/>
        <w:rPr>
          <w:rFonts w:ascii="宋体" w:hAnsi="宋体" w:cs="宋体"/>
          <w:color w:val="auto"/>
          <w:sz w:val="24"/>
          <w:szCs w:val="24"/>
        </w:rPr>
      </w:pPr>
      <w:r>
        <w:rPr>
          <w:rFonts w:hint="eastAsia" w:ascii="宋体" w:hAnsi="宋体" w:cs="宋体"/>
          <w:color w:val="auto"/>
          <w:sz w:val="24"/>
          <w:szCs w:val="24"/>
        </w:rPr>
        <w:t>8.4 供应商质疑应当有明确的请求和必要的证明材料。质疑内容不得含有虚假、恶意成份。依照谁主张谁举证的原则，提出质疑者必须同时提交相关确凿的证据材料和注明证据的确切来源，证据来源必须合法，采购人、采购代理机构有权将质疑函转发质疑事项各关联方，请其作出解释说明。对捏造事实、滥用维权扰乱采购秩序的恶意质疑者，将上报天津市财政局政府采购处依法处理。</w:t>
      </w:r>
    </w:p>
    <w:p>
      <w:pPr>
        <w:spacing w:after="0" w:line="560" w:lineRule="exact"/>
        <w:rPr>
          <w:rFonts w:ascii="宋体" w:hAnsi="宋体" w:cs="宋体"/>
          <w:color w:val="auto"/>
          <w:sz w:val="24"/>
          <w:szCs w:val="24"/>
        </w:rPr>
      </w:pPr>
      <w:r>
        <w:rPr>
          <w:rFonts w:hint="eastAsia" w:ascii="宋体" w:hAnsi="宋体" w:cs="宋体"/>
          <w:color w:val="auto"/>
          <w:sz w:val="24"/>
          <w:szCs w:val="24"/>
        </w:rPr>
        <w:t>8.5 质疑受理部门：天津晟辰工程造价咨询有限公司，电话：022-83560800。提交质疑文件地点：天津市南开区红旗路208号乐谷商务中心A座10层（天津晟辰工程造价咨询有限公司）。</w:t>
      </w:r>
    </w:p>
    <w:p>
      <w:pPr>
        <w:spacing w:after="0" w:line="560" w:lineRule="exact"/>
        <w:rPr>
          <w:rFonts w:ascii="宋体" w:hAnsi="宋体" w:cs="宋体"/>
          <w:color w:val="auto"/>
          <w:sz w:val="24"/>
          <w:szCs w:val="24"/>
        </w:rPr>
      </w:pPr>
      <w:r>
        <w:rPr>
          <w:rFonts w:hint="eastAsia" w:ascii="宋体" w:hAnsi="宋体" w:cs="宋体"/>
          <w:color w:val="auto"/>
          <w:sz w:val="24"/>
          <w:szCs w:val="24"/>
        </w:rPr>
        <w:t>8.6 采购人、采购代理机构将于受理供应商书面质疑后七个工作日内作出答复，并以书面形式通知提出质疑的</w:t>
      </w:r>
      <w:r>
        <w:rPr>
          <w:rFonts w:hint="eastAsia" w:ascii="宋体" w:hAnsi="宋体" w:cs="宋体"/>
          <w:color w:val="auto"/>
          <w:sz w:val="24"/>
          <w:szCs w:val="24"/>
          <w:lang w:eastAsia="zh-CN"/>
        </w:rPr>
        <w:t>供应商</w:t>
      </w:r>
      <w:r>
        <w:rPr>
          <w:rFonts w:hint="eastAsia" w:ascii="宋体" w:hAnsi="宋体" w:cs="宋体"/>
          <w:color w:val="auto"/>
          <w:sz w:val="24"/>
          <w:szCs w:val="24"/>
        </w:rPr>
        <w:t>和其他有关</w:t>
      </w:r>
      <w:r>
        <w:rPr>
          <w:rFonts w:hint="eastAsia" w:ascii="宋体" w:hAnsi="宋体" w:cs="宋体"/>
          <w:color w:val="auto"/>
          <w:sz w:val="24"/>
          <w:szCs w:val="24"/>
          <w:lang w:eastAsia="zh-CN"/>
        </w:rPr>
        <w:t>供应商</w:t>
      </w:r>
      <w:r>
        <w:rPr>
          <w:rFonts w:hint="eastAsia" w:ascii="宋体" w:hAnsi="宋体" w:cs="宋体"/>
          <w:color w:val="auto"/>
          <w:sz w:val="24"/>
          <w:szCs w:val="24"/>
        </w:rPr>
        <w:t>，但答复的内容不涉及商业秘密或者依法应当保密的内容。</w:t>
      </w:r>
    </w:p>
    <w:p>
      <w:pPr>
        <w:spacing w:after="0" w:line="560" w:lineRule="exact"/>
        <w:rPr>
          <w:rFonts w:ascii="宋体" w:hAnsi="宋体" w:cs="宋体"/>
          <w:color w:val="auto"/>
          <w:sz w:val="24"/>
          <w:szCs w:val="24"/>
        </w:rPr>
      </w:pPr>
      <w:r>
        <w:rPr>
          <w:rFonts w:hint="eastAsia" w:ascii="宋体" w:hAnsi="宋体" w:cs="宋体"/>
          <w:color w:val="auto"/>
          <w:sz w:val="24"/>
          <w:szCs w:val="24"/>
        </w:rPr>
        <w:t>8.7 供应商须在法定质疑期内一次性提出针对同一采购程序环节的质疑。</w:t>
      </w:r>
    </w:p>
    <w:p>
      <w:pPr>
        <w:spacing w:after="0" w:line="560" w:lineRule="exact"/>
        <w:rPr>
          <w:rFonts w:ascii="宋体" w:hAnsi="宋体" w:cs="宋体"/>
          <w:color w:val="auto"/>
          <w:sz w:val="24"/>
          <w:szCs w:val="24"/>
        </w:rPr>
      </w:pPr>
      <w:r>
        <w:rPr>
          <w:rFonts w:hint="eastAsia" w:ascii="宋体" w:hAnsi="宋体" w:cs="宋体"/>
          <w:color w:val="auto"/>
          <w:sz w:val="24"/>
          <w:szCs w:val="24"/>
        </w:rPr>
        <w:t>8.8 对供应商询问或质疑的答复将导致招标文件变更或者影响招标活动继续进行的，采购人、采购代理机构将在原招标公告发布媒体上发布更正公告。</w:t>
      </w:r>
    </w:p>
    <w:p>
      <w:pPr>
        <w:spacing w:after="0" w:line="560" w:lineRule="exact"/>
        <w:rPr>
          <w:rFonts w:ascii="宋体" w:hAnsi="宋体" w:cs="宋体"/>
          <w:color w:val="auto"/>
          <w:sz w:val="24"/>
          <w:szCs w:val="24"/>
        </w:rPr>
      </w:pPr>
      <w:r>
        <w:rPr>
          <w:rFonts w:hint="eastAsia" w:ascii="宋体" w:hAnsi="宋体" w:cs="宋体"/>
          <w:color w:val="auto"/>
          <w:sz w:val="24"/>
          <w:szCs w:val="24"/>
        </w:rPr>
        <w:t>9. 其他</w:t>
      </w:r>
    </w:p>
    <w:p>
      <w:pPr>
        <w:spacing w:after="0" w:line="560" w:lineRule="exact"/>
        <w:rPr>
          <w:rFonts w:ascii="宋体" w:hAnsi="宋体" w:cs="宋体"/>
          <w:color w:val="auto"/>
          <w:sz w:val="24"/>
          <w:szCs w:val="24"/>
        </w:rPr>
      </w:pPr>
      <w:r>
        <w:rPr>
          <w:rFonts w:hint="eastAsia" w:ascii="宋体" w:hAnsi="宋体" w:cs="宋体"/>
          <w:color w:val="auto"/>
          <w:sz w:val="24"/>
          <w:szCs w:val="24"/>
        </w:rPr>
        <w:t>本《投标须知》的条款如与《投标邀请函》、《招标项目需求》就同一内容的表述不一致的，以《投标邀请函》、《招标项目需求》中规定的内容为准。</w:t>
      </w:r>
    </w:p>
    <w:p>
      <w:pPr>
        <w:spacing w:after="0" w:line="560" w:lineRule="exact"/>
        <w:rPr>
          <w:rFonts w:ascii="宋体" w:hAnsi="宋体" w:cs="宋体"/>
          <w:color w:val="auto"/>
          <w:sz w:val="24"/>
          <w:szCs w:val="24"/>
        </w:rPr>
      </w:pPr>
    </w:p>
    <w:p>
      <w:pPr>
        <w:spacing w:after="0" w:line="560" w:lineRule="exact"/>
        <w:jc w:val="center"/>
        <w:rPr>
          <w:rFonts w:ascii="宋体" w:hAnsi="宋体" w:cs="宋体"/>
          <w:color w:val="auto"/>
          <w:sz w:val="24"/>
          <w:szCs w:val="24"/>
        </w:rPr>
      </w:pPr>
      <w:r>
        <w:rPr>
          <w:rFonts w:hint="eastAsia" w:ascii="宋体" w:hAnsi="宋体" w:cs="宋体"/>
          <w:color w:val="auto"/>
          <w:sz w:val="24"/>
          <w:szCs w:val="24"/>
        </w:rPr>
        <w:t>B  招标文件说明</w:t>
      </w:r>
    </w:p>
    <w:p>
      <w:pPr>
        <w:spacing w:after="0" w:line="560" w:lineRule="exact"/>
        <w:rPr>
          <w:rFonts w:ascii="宋体" w:hAnsi="宋体" w:cs="宋体"/>
          <w:color w:val="auto"/>
          <w:sz w:val="24"/>
          <w:szCs w:val="24"/>
        </w:rPr>
      </w:pPr>
      <w:r>
        <w:rPr>
          <w:rFonts w:hint="eastAsia" w:ascii="宋体" w:hAnsi="宋体" w:cs="宋体"/>
          <w:color w:val="auto"/>
          <w:sz w:val="24"/>
          <w:szCs w:val="24"/>
        </w:rPr>
        <w:t>10. 招标文件的构成</w:t>
      </w:r>
    </w:p>
    <w:p>
      <w:pPr>
        <w:spacing w:after="0" w:line="560" w:lineRule="exact"/>
        <w:rPr>
          <w:rFonts w:ascii="宋体" w:hAnsi="宋体" w:cs="宋体"/>
          <w:color w:val="auto"/>
          <w:sz w:val="24"/>
          <w:szCs w:val="24"/>
        </w:rPr>
      </w:pPr>
      <w:r>
        <w:rPr>
          <w:rFonts w:hint="eastAsia" w:ascii="宋体" w:hAnsi="宋体" w:cs="宋体"/>
          <w:color w:val="auto"/>
          <w:sz w:val="24"/>
          <w:szCs w:val="24"/>
        </w:rPr>
        <w:t>10.1 招标文件由下述部分组成：</w:t>
      </w:r>
    </w:p>
    <w:p>
      <w:pPr>
        <w:spacing w:after="0" w:line="560" w:lineRule="exact"/>
        <w:rPr>
          <w:rFonts w:ascii="宋体" w:hAnsi="宋体" w:cs="宋体"/>
          <w:color w:val="auto"/>
          <w:sz w:val="24"/>
          <w:szCs w:val="24"/>
        </w:rPr>
      </w:pPr>
      <w:r>
        <w:rPr>
          <w:rFonts w:hint="eastAsia" w:ascii="宋体" w:hAnsi="宋体" w:cs="宋体"/>
          <w:color w:val="auto"/>
          <w:sz w:val="24"/>
          <w:szCs w:val="24"/>
        </w:rPr>
        <w:t>（1）投标邀请函</w:t>
      </w:r>
    </w:p>
    <w:p>
      <w:pPr>
        <w:spacing w:after="0" w:line="560" w:lineRule="exact"/>
        <w:rPr>
          <w:rFonts w:ascii="宋体" w:hAnsi="宋体" w:cs="宋体"/>
          <w:color w:val="auto"/>
          <w:sz w:val="24"/>
          <w:szCs w:val="24"/>
        </w:rPr>
      </w:pPr>
      <w:r>
        <w:rPr>
          <w:rFonts w:hint="eastAsia" w:ascii="宋体" w:hAnsi="宋体" w:cs="宋体"/>
          <w:color w:val="auto"/>
          <w:sz w:val="24"/>
          <w:szCs w:val="24"/>
        </w:rPr>
        <w:t>（2）招标项目需求</w:t>
      </w:r>
    </w:p>
    <w:p>
      <w:pPr>
        <w:spacing w:after="0" w:line="560" w:lineRule="exact"/>
        <w:rPr>
          <w:rFonts w:ascii="宋体" w:hAnsi="宋体" w:cs="宋体"/>
          <w:color w:val="auto"/>
          <w:sz w:val="24"/>
          <w:szCs w:val="24"/>
        </w:rPr>
      </w:pPr>
      <w:r>
        <w:rPr>
          <w:rFonts w:hint="eastAsia" w:ascii="宋体" w:hAnsi="宋体" w:cs="宋体"/>
          <w:color w:val="auto"/>
          <w:sz w:val="24"/>
          <w:szCs w:val="24"/>
        </w:rPr>
        <w:t>（3）投标须知</w:t>
      </w:r>
    </w:p>
    <w:p>
      <w:pPr>
        <w:spacing w:after="0" w:line="560" w:lineRule="exact"/>
        <w:rPr>
          <w:rFonts w:ascii="宋体" w:hAnsi="宋体" w:cs="宋体"/>
          <w:color w:val="auto"/>
          <w:sz w:val="24"/>
          <w:szCs w:val="24"/>
        </w:rPr>
      </w:pPr>
      <w:r>
        <w:rPr>
          <w:rFonts w:hint="eastAsia" w:ascii="宋体" w:hAnsi="宋体" w:cs="宋体"/>
          <w:color w:val="auto"/>
          <w:sz w:val="24"/>
          <w:szCs w:val="24"/>
        </w:rPr>
        <w:t>（4）合同条款</w:t>
      </w:r>
    </w:p>
    <w:p>
      <w:pPr>
        <w:spacing w:after="0" w:line="560" w:lineRule="exact"/>
        <w:rPr>
          <w:rFonts w:ascii="宋体" w:hAnsi="宋体" w:cs="宋体"/>
          <w:color w:val="auto"/>
          <w:sz w:val="24"/>
          <w:szCs w:val="24"/>
        </w:rPr>
      </w:pPr>
      <w:r>
        <w:rPr>
          <w:rFonts w:hint="eastAsia" w:ascii="宋体" w:hAnsi="宋体" w:cs="宋体"/>
          <w:color w:val="auto"/>
          <w:sz w:val="24"/>
          <w:szCs w:val="24"/>
        </w:rPr>
        <w:t>（5）投标文件格式</w:t>
      </w:r>
    </w:p>
    <w:p>
      <w:pPr>
        <w:spacing w:after="0" w:line="560" w:lineRule="exact"/>
        <w:rPr>
          <w:rFonts w:ascii="宋体" w:hAnsi="宋体" w:cs="宋体"/>
          <w:color w:val="auto"/>
          <w:sz w:val="24"/>
          <w:szCs w:val="24"/>
        </w:rPr>
      </w:pPr>
      <w:r>
        <w:rPr>
          <w:rFonts w:hint="eastAsia" w:ascii="宋体" w:hAnsi="宋体" w:cs="宋体"/>
          <w:color w:val="auto"/>
          <w:sz w:val="24"/>
          <w:szCs w:val="24"/>
        </w:rPr>
        <w:t>（6）本项目招标文件的更正公告内容（如有）</w:t>
      </w:r>
    </w:p>
    <w:p>
      <w:pPr>
        <w:spacing w:after="0" w:line="560" w:lineRule="exact"/>
        <w:rPr>
          <w:rFonts w:ascii="宋体" w:hAnsi="宋体" w:cs="宋体"/>
          <w:color w:val="auto"/>
          <w:sz w:val="24"/>
          <w:szCs w:val="24"/>
        </w:rPr>
      </w:pPr>
      <w:r>
        <w:rPr>
          <w:rFonts w:hint="eastAsia" w:ascii="宋体" w:hAnsi="宋体" w:cs="宋体"/>
          <w:color w:val="auto"/>
          <w:sz w:val="24"/>
          <w:szCs w:val="24"/>
        </w:rPr>
        <w:t>10.2 除非有特殊要求，招标文件不单独提供招标项目使用地的自然环境、气候条件、公用设施等情况，</w:t>
      </w:r>
      <w:r>
        <w:rPr>
          <w:rFonts w:hint="eastAsia" w:ascii="宋体" w:hAnsi="宋体" w:cs="宋体"/>
          <w:color w:val="auto"/>
          <w:sz w:val="24"/>
          <w:szCs w:val="24"/>
          <w:lang w:eastAsia="zh-CN"/>
        </w:rPr>
        <w:t>供应商</w:t>
      </w:r>
      <w:r>
        <w:rPr>
          <w:rFonts w:hint="eastAsia" w:ascii="宋体" w:hAnsi="宋体" w:cs="宋体"/>
          <w:color w:val="auto"/>
          <w:sz w:val="24"/>
          <w:szCs w:val="24"/>
        </w:rPr>
        <w:t>被视为熟悉上述与履行合同有关的一切情况。</w:t>
      </w:r>
    </w:p>
    <w:p>
      <w:pPr>
        <w:spacing w:after="0" w:line="560" w:lineRule="exact"/>
        <w:rPr>
          <w:rFonts w:ascii="宋体" w:hAnsi="宋体" w:cs="宋体"/>
          <w:color w:val="auto"/>
          <w:sz w:val="24"/>
          <w:szCs w:val="24"/>
        </w:rPr>
      </w:pPr>
      <w:r>
        <w:rPr>
          <w:rFonts w:hint="eastAsia" w:ascii="宋体" w:hAnsi="宋体" w:cs="宋体"/>
          <w:color w:val="auto"/>
          <w:sz w:val="24"/>
          <w:szCs w:val="24"/>
        </w:rPr>
        <w:t>10.3 加注“★”号条款为实质性条款，不得出现负偏离，发生负偏离即做无效标处理。加注“▲”号的产品为核心产品，任意一种核心产品为同一品牌时，按照本部分第29.4条款执行。</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ascii="宋体" w:hAnsi="宋体" w:cs="宋体"/>
          <w:color w:val="auto"/>
          <w:sz w:val="24"/>
          <w:szCs w:val="24"/>
        </w:rPr>
      </w:pPr>
      <w:r>
        <w:rPr>
          <w:rFonts w:hint="eastAsia" w:ascii="宋体" w:hAnsi="宋体" w:cs="宋体"/>
          <w:color w:val="auto"/>
          <w:sz w:val="24"/>
          <w:szCs w:val="24"/>
        </w:rPr>
        <w:t>10.4 招标文件中涉及的参照品牌、型号仅起说明作用，并没有任何限制性，</w:t>
      </w:r>
      <w:r>
        <w:rPr>
          <w:rFonts w:hint="eastAsia" w:ascii="宋体" w:hAnsi="宋体" w:cs="宋体"/>
          <w:color w:val="auto"/>
          <w:sz w:val="24"/>
          <w:szCs w:val="24"/>
          <w:lang w:eastAsia="zh-CN"/>
        </w:rPr>
        <w:t>供应商</w:t>
      </w:r>
      <w:r>
        <w:rPr>
          <w:rFonts w:hint="eastAsia" w:ascii="宋体" w:hAnsi="宋体" w:cs="宋体"/>
          <w:color w:val="auto"/>
          <w:sz w:val="24"/>
          <w:szCs w:val="24"/>
        </w:rPr>
        <w:t>在投标中可以选用其他替代品牌或型号，但这些替代要实质上优于或相当于招标要求。</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宋体" w:hAnsi="宋体" w:cs="宋体"/>
          <w:color w:val="auto"/>
          <w:sz w:val="24"/>
          <w:szCs w:val="24"/>
        </w:rPr>
      </w:pPr>
      <w:r>
        <w:rPr>
          <w:rFonts w:hint="eastAsia" w:ascii="宋体" w:hAnsi="宋体" w:cs="宋体"/>
          <w:color w:val="auto"/>
          <w:sz w:val="24"/>
          <w:szCs w:val="24"/>
        </w:rPr>
        <w:t>10.5 除招标文件另有规定外，招标文件中要求的每一项产品只允许一种产品投标，每一项产品的采购数量不允许变更。</w:t>
      </w:r>
    </w:p>
    <w:p>
      <w:pPr>
        <w:spacing w:after="0" w:line="560" w:lineRule="exact"/>
        <w:rPr>
          <w:rFonts w:ascii="宋体" w:hAnsi="宋体" w:cs="宋体"/>
          <w:color w:val="auto"/>
          <w:sz w:val="24"/>
          <w:szCs w:val="24"/>
        </w:rPr>
      </w:pPr>
      <w:r>
        <w:rPr>
          <w:rFonts w:hint="eastAsia" w:ascii="宋体" w:hAnsi="宋体" w:cs="宋体"/>
          <w:color w:val="auto"/>
          <w:sz w:val="24"/>
          <w:szCs w:val="24"/>
        </w:rPr>
        <w:t>11. 招标文件的澄清和修改</w:t>
      </w:r>
    </w:p>
    <w:p>
      <w:pPr>
        <w:spacing w:after="0" w:line="560" w:lineRule="exact"/>
        <w:rPr>
          <w:rFonts w:ascii="宋体" w:hAnsi="宋体" w:cs="宋体"/>
          <w:color w:val="auto"/>
          <w:sz w:val="24"/>
          <w:szCs w:val="24"/>
        </w:rPr>
      </w:pPr>
      <w:r>
        <w:rPr>
          <w:rFonts w:hint="eastAsia" w:ascii="宋体" w:hAnsi="宋体" w:cs="宋体"/>
          <w:color w:val="auto"/>
          <w:sz w:val="24"/>
          <w:szCs w:val="24"/>
        </w:rPr>
        <w:t>11.1 投标截止前，采购人、采购代理机构需要对招标文件进行补充或修改的，采购人、采购代理机构将会通过“天津市政府采购网”以更正公告形式发布。</w:t>
      </w:r>
    </w:p>
    <w:p>
      <w:pPr>
        <w:spacing w:after="0" w:line="560" w:lineRule="exact"/>
        <w:rPr>
          <w:rFonts w:ascii="宋体" w:hAnsi="宋体" w:cs="宋体"/>
          <w:color w:val="auto"/>
          <w:sz w:val="24"/>
          <w:szCs w:val="24"/>
        </w:rPr>
      </w:pPr>
      <w:r>
        <w:rPr>
          <w:rFonts w:hint="eastAsia" w:ascii="宋体" w:hAnsi="宋体" w:cs="宋体"/>
          <w:color w:val="auto"/>
          <w:sz w:val="24"/>
          <w:szCs w:val="24"/>
        </w:rPr>
        <w:t>11.2 更正公告一经在“天津市政府采购网”发布，视同已书面通知所有招标文件的收受人。请参与项目的供应商及时关注更正公告，由此导致的风险由</w:t>
      </w:r>
      <w:r>
        <w:rPr>
          <w:rFonts w:hint="eastAsia" w:ascii="宋体" w:hAnsi="宋体" w:cs="宋体"/>
          <w:color w:val="auto"/>
          <w:sz w:val="24"/>
          <w:szCs w:val="24"/>
          <w:lang w:eastAsia="zh-CN"/>
        </w:rPr>
        <w:t>供应商</w:t>
      </w:r>
      <w:r>
        <w:rPr>
          <w:rFonts w:hint="eastAsia" w:ascii="宋体" w:hAnsi="宋体" w:cs="宋体"/>
          <w:color w:val="auto"/>
          <w:sz w:val="24"/>
          <w:szCs w:val="24"/>
        </w:rPr>
        <w:t>自行承担，采购人、采购代理机构不承担任何责任。</w:t>
      </w:r>
    </w:p>
    <w:p>
      <w:pPr>
        <w:spacing w:after="0" w:line="560" w:lineRule="exact"/>
        <w:rPr>
          <w:rFonts w:ascii="宋体" w:hAnsi="宋体" w:cs="宋体"/>
          <w:color w:val="auto"/>
          <w:sz w:val="24"/>
          <w:szCs w:val="24"/>
        </w:rPr>
      </w:pPr>
      <w:r>
        <w:rPr>
          <w:rFonts w:hint="eastAsia" w:ascii="宋体" w:hAnsi="宋体" w:cs="宋体"/>
          <w:color w:val="auto"/>
          <w:sz w:val="24"/>
          <w:szCs w:val="24"/>
        </w:rPr>
        <w:t>11.3 更正公告的内容为招标文件的组成部分。当招标文件与更正公告就同一内容的表述不一致时，以最后发出的更正公告内容为准。</w:t>
      </w:r>
    </w:p>
    <w:p>
      <w:pPr>
        <w:spacing w:after="0" w:line="560" w:lineRule="exact"/>
        <w:rPr>
          <w:rFonts w:ascii="宋体" w:hAnsi="宋体" w:cs="宋体"/>
          <w:color w:val="auto"/>
          <w:sz w:val="24"/>
          <w:szCs w:val="24"/>
        </w:rPr>
      </w:pPr>
      <w:r>
        <w:rPr>
          <w:rFonts w:hint="eastAsia" w:ascii="宋体" w:hAnsi="宋体" w:cs="宋体"/>
          <w:color w:val="auto"/>
          <w:sz w:val="24"/>
          <w:szCs w:val="24"/>
        </w:rPr>
        <w:t>11.4 招标文件的澄清、答复、修改或补充都应由采购代理机构以更正公告形式发布，除此以外的其他任何澄清、修改方式及澄清、修改内容均属无效，不得作为投标的依据，由此导致的风险由</w:t>
      </w:r>
      <w:r>
        <w:rPr>
          <w:rFonts w:hint="eastAsia" w:ascii="宋体" w:hAnsi="宋体" w:cs="宋体"/>
          <w:color w:val="auto"/>
          <w:sz w:val="24"/>
          <w:szCs w:val="24"/>
          <w:lang w:eastAsia="zh-CN"/>
        </w:rPr>
        <w:t>供应商</w:t>
      </w:r>
      <w:r>
        <w:rPr>
          <w:rFonts w:hint="eastAsia" w:ascii="宋体" w:hAnsi="宋体" w:cs="宋体"/>
          <w:color w:val="auto"/>
          <w:sz w:val="24"/>
          <w:szCs w:val="24"/>
        </w:rPr>
        <w:t>自行承担，采购人、采购代理机构不承担任何责任。</w:t>
      </w:r>
    </w:p>
    <w:p>
      <w:pPr>
        <w:spacing w:after="0" w:line="560" w:lineRule="exact"/>
        <w:rPr>
          <w:rFonts w:ascii="宋体" w:hAnsi="宋体" w:cs="宋体"/>
          <w:color w:val="auto"/>
          <w:sz w:val="24"/>
          <w:szCs w:val="24"/>
        </w:rPr>
      </w:pPr>
      <w:r>
        <w:rPr>
          <w:rFonts w:hint="eastAsia" w:ascii="宋体" w:hAnsi="宋体" w:cs="宋体"/>
          <w:color w:val="auto"/>
          <w:sz w:val="24"/>
          <w:szCs w:val="24"/>
        </w:rPr>
        <w:t>12. 答疑会和踏勘现场</w:t>
      </w:r>
    </w:p>
    <w:p>
      <w:pPr>
        <w:spacing w:after="0" w:line="560" w:lineRule="exact"/>
        <w:rPr>
          <w:rFonts w:ascii="宋体" w:hAnsi="宋体" w:cs="宋体"/>
          <w:color w:val="auto"/>
          <w:sz w:val="24"/>
          <w:szCs w:val="24"/>
        </w:rPr>
      </w:pPr>
      <w:r>
        <w:rPr>
          <w:rFonts w:hint="eastAsia" w:ascii="宋体" w:hAnsi="宋体" w:cs="宋体"/>
          <w:color w:val="auto"/>
          <w:sz w:val="24"/>
          <w:szCs w:val="24"/>
        </w:rPr>
        <w:t>12.1 采购人、采购代理机构召开答疑会的，所有</w:t>
      </w:r>
      <w:r>
        <w:rPr>
          <w:rFonts w:hint="eastAsia" w:ascii="宋体" w:hAnsi="宋体" w:cs="宋体"/>
          <w:color w:val="auto"/>
          <w:sz w:val="24"/>
          <w:szCs w:val="24"/>
          <w:lang w:eastAsia="zh-CN"/>
        </w:rPr>
        <w:t>供应商</w:t>
      </w:r>
      <w:r>
        <w:rPr>
          <w:rFonts w:hint="eastAsia" w:ascii="宋体" w:hAnsi="宋体" w:cs="宋体"/>
          <w:color w:val="auto"/>
          <w:sz w:val="24"/>
          <w:szCs w:val="24"/>
        </w:rPr>
        <w:t>应按《投标邀请函》规定的时间、地点参加答疑会。</w:t>
      </w:r>
      <w:r>
        <w:rPr>
          <w:rFonts w:hint="eastAsia" w:ascii="宋体" w:hAnsi="宋体" w:cs="宋体"/>
          <w:color w:val="auto"/>
          <w:sz w:val="24"/>
          <w:szCs w:val="24"/>
          <w:lang w:eastAsia="zh-CN"/>
        </w:rPr>
        <w:t>供应商</w:t>
      </w:r>
      <w:r>
        <w:rPr>
          <w:rFonts w:hint="eastAsia" w:ascii="宋体" w:hAnsi="宋体" w:cs="宋体"/>
          <w:color w:val="auto"/>
          <w:sz w:val="24"/>
          <w:szCs w:val="24"/>
        </w:rPr>
        <w:t>如不参加，其风险由</w:t>
      </w:r>
      <w:r>
        <w:rPr>
          <w:rFonts w:hint="eastAsia" w:ascii="宋体" w:hAnsi="宋体" w:cs="宋体"/>
          <w:color w:val="auto"/>
          <w:sz w:val="24"/>
          <w:szCs w:val="24"/>
          <w:lang w:eastAsia="zh-CN"/>
        </w:rPr>
        <w:t>供应商</w:t>
      </w:r>
      <w:r>
        <w:rPr>
          <w:rFonts w:hint="eastAsia" w:ascii="宋体" w:hAnsi="宋体" w:cs="宋体"/>
          <w:color w:val="auto"/>
          <w:sz w:val="24"/>
          <w:szCs w:val="24"/>
        </w:rPr>
        <w:t>自行承担，采购人、采购代理机构不承担任何责任。</w:t>
      </w:r>
    </w:p>
    <w:p>
      <w:pPr>
        <w:spacing w:after="0" w:line="560" w:lineRule="exact"/>
        <w:rPr>
          <w:rFonts w:ascii="宋体" w:hAnsi="宋体" w:cs="宋体"/>
          <w:color w:val="auto"/>
          <w:sz w:val="24"/>
          <w:szCs w:val="24"/>
        </w:rPr>
      </w:pPr>
      <w:r>
        <w:rPr>
          <w:rFonts w:hint="eastAsia" w:ascii="宋体" w:hAnsi="宋体" w:cs="宋体"/>
          <w:color w:val="auto"/>
          <w:sz w:val="24"/>
          <w:szCs w:val="24"/>
        </w:rPr>
        <w:t>12.2 采购人、采购代理机构组织踏勘现场的，所有</w:t>
      </w:r>
      <w:r>
        <w:rPr>
          <w:rFonts w:hint="eastAsia" w:ascii="宋体" w:hAnsi="宋体" w:cs="宋体"/>
          <w:color w:val="auto"/>
          <w:sz w:val="24"/>
          <w:szCs w:val="24"/>
          <w:lang w:eastAsia="zh-CN"/>
        </w:rPr>
        <w:t>供应商</w:t>
      </w:r>
      <w:r>
        <w:rPr>
          <w:rFonts w:hint="eastAsia" w:ascii="宋体" w:hAnsi="宋体" w:cs="宋体"/>
          <w:color w:val="auto"/>
          <w:sz w:val="24"/>
          <w:szCs w:val="24"/>
        </w:rPr>
        <w:t>按《投标邀请函》规定的时间、地点参加踏勘现场活动。</w:t>
      </w:r>
      <w:r>
        <w:rPr>
          <w:rFonts w:hint="eastAsia" w:ascii="宋体" w:hAnsi="宋体" w:cs="宋体"/>
          <w:color w:val="auto"/>
          <w:sz w:val="24"/>
          <w:szCs w:val="24"/>
          <w:lang w:eastAsia="zh-CN"/>
        </w:rPr>
        <w:t>供应商</w:t>
      </w:r>
      <w:r>
        <w:rPr>
          <w:rFonts w:hint="eastAsia" w:ascii="宋体" w:hAnsi="宋体" w:cs="宋体"/>
          <w:color w:val="auto"/>
          <w:sz w:val="24"/>
          <w:szCs w:val="24"/>
        </w:rPr>
        <w:t>如不参加，其风险由</w:t>
      </w:r>
      <w:r>
        <w:rPr>
          <w:rFonts w:hint="eastAsia" w:ascii="宋体" w:hAnsi="宋体" w:cs="宋体"/>
          <w:color w:val="auto"/>
          <w:sz w:val="24"/>
          <w:szCs w:val="24"/>
          <w:lang w:eastAsia="zh-CN"/>
        </w:rPr>
        <w:t>供应商</w:t>
      </w:r>
      <w:r>
        <w:rPr>
          <w:rFonts w:hint="eastAsia" w:ascii="宋体" w:hAnsi="宋体" w:cs="宋体"/>
          <w:color w:val="auto"/>
          <w:sz w:val="24"/>
          <w:szCs w:val="24"/>
        </w:rPr>
        <w:t>自行承担，采购人、采购代理机构不承担任何责任。</w:t>
      </w:r>
    </w:p>
    <w:p>
      <w:pPr>
        <w:spacing w:after="0" w:line="560" w:lineRule="exact"/>
        <w:rPr>
          <w:rFonts w:ascii="宋体" w:hAnsi="宋体" w:cs="宋体"/>
          <w:color w:val="auto"/>
          <w:sz w:val="24"/>
          <w:szCs w:val="24"/>
        </w:rPr>
      </w:pPr>
      <w:r>
        <w:rPr>
          <w:rFonts w:hint="eastAsia" w:ascii="宋体" w:hAnsi="宋体" w:cs="宋体"/>
          <w:color w:val="auto"/>
          <w:sz w:val="24"/>
          <w:szCs w:val="24"/>
        </w:rPr>
        <w:t>12.3 采购人、采购代理机构在答疑会或踏勘现场中口头介绍的情况，除经“天津市政府采购网”以更正公告的形式发布外，不构成对招标文件的修改，不作为</w:t>
      </w:r>
      <w:r>
        <w:rPr>
          <w:rFonts w:hint="eastAsia" w:ascii="宋体" w:hAnsi="宋体" w:cs="宋体"/>
          <w:color w:val="auto"/>
          <w:sz w:val="24"/>
          <w:szCs w:val="24"/>
          <w:lang w:eastAsia="zh-CN"/>
        </w:rPr>
        <w:t>供应商</w:t>
      </w:r>
      <w:r>
        <w:rPr>
          <w:rFonts w:hint="eastAsia" w:ascii="宋体" w:hAnsi="宋体" w:cs="宋体"/>
          <w:color w:val="auto"/>
          <w:sz w:val="24"/>
          <w:szCs w:val="24"/>
        </w:rPr>
        <w:t>编制投标文件的依据。</w:t>
      </w:r>
    </w:p>
    <w:p>
      <w:pPr>
        <w:spacing w:after="0" w:line="560" w:lineRule="exact"/>
        <w:rPr>
          <w:rFonts w:ascii="宋体" w:hAnsi="宋体" w:cs="宋体"/>
          <w:color w:val="auto"/>
          <w:sz w:val="24"/>
          <w:szCs w:val="24"/>
        </w:rPr>
      </w:pPr>
    </w:p>
    <w:p>
      <w:pPr>
        <w:spacing w:after="0" w:line="560" w:lineRule="exact"/>
        <w:jc w:val="center"/>
        <w:rPr>
          <w:rFonts w:ascii="宋体" w:hAnsi="宋体" w:cs="宋体"/>
          <w:color w:val="auto"/>
          <w:sz w:val="24"/>
          <w:szCs w:val="24"/>
        </w:rPr>
      </w:pPr>
      <w:r>
        <w:rPr>
          <w:rFonts w:hint="eastAsia" w:ascii="宋体" w:hAnsi="宋体" w:cs="宋体"/>
          <w:color w:val="auto"/>
          <w:sz w:val="24"/>
          <w:szCs w:val="24"/>
        </w:rPr>
        <w:t>C  投标文件的编制</w:t>
      </w:r>
    </w:p>
    <w:p>
      <w:pPr>
        <w:spacing w:after="0" w:line="560" w:lineRule="exact"/>
        <w:rPr>
          <w:rFonts w:ascii="宋体" w:hAnsi="宋体" w:cs="宋体"/>
          <w:color w:val="auto"/>
          <w:sz w:val="24"/>
          <w:szCs w:val="24"/>
        </w:rPr>
      </w:pPr>
      <w:r>
        <w:rPr>
          <w:rFonts w:hint="eastAsia" w:ascii="宋体" w:hAnsi="宋体" w:cs="宋体"/>
          <w:color w:val="auto"/>
          <w:sz w:val="24"/>
          <w:szCs w:val="24"/>
        </w:rPr>
        <w:t>13. 要求</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13.1 </w:t>
      </w:r>
      <w:r>
        <w:rPr>
          <w:rFonts w:hint="eastAsia" w:ascii="宋体" w:hAnsi="宋体" w:cs="宋体"/>
          <w:color w:val="auto"/>
          <w:sz w:val="24"/>
          <w:szCs w:val="24"/>
          <w:lang w:eastAsia="zh-CN"/>
        </w:rPr>
        <w:t>供应商</w:t>
      </w:r>
      <w:r>
        <w:rPr>
          <w:rFonts w:hint="eastAsia" w:ascii="宋体" w:hAnsi="宋体" w:cs="宋体"/>
          <w:color w:val="auto"/>
          <w:sz w:val="24"/>
          <w:szCs w:val="24"/>
        </w:rPr>
        <w:t>应仔细阅读招标文件的所有内容，按招标文件要求编制投标文件，以使其投标对招标文件做出实质性响应。否则，其投标文件可能被拒绝，</w:t>
      </w:r>
      <w:r>
        <w:rPr>
          <w:rFonts w:hint="eastAsia" w:ascii="宋体" w:hAnsi="宋体" w:cs="宋体"/>
          <w:color w:val="auto"/>
          <w:sz w:val="24"/>
          <w:szCs w:val="24"/>
          <w:lang w:eastAsia="zh-CN"/>
        </w:rPr>
        <w:t>供应商</w:t>
      </w:r>
      <w:r>
        <w:rPr>
          <w:rFonts w:hint="eastAsia" w:ascii="宋体" w:hAnsi="宋体" w:cs="宋体"/>
          <w:color w:val="auto"/>
          <w:sz w:val="24"/>
          <w:szCs w:val="24"/>
        </w:rPr>
        <w:t>须自行承担由此引起的风险和责任。</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13.2 </w:t>
      </w:r>
      <w:r>
        <w:rPr>
          <w:rFonts w:hint="eastAsia" w:ascii="宋体" w:hAnsi="宋体" w:cs="宋体"/>
          <w:color w:val="auto"/>
          <w:sz w:val="24"/>
          <w:szCs w:val="24"/>
          <w:lang w:eastAsia="zh-CN"/>
        </w:rPr>
        <w:t>供应商</w:t>
      </w:r>
      <w:r>
        <w:rPr>
          <w:rFonts w:hint="eastAsia" w:ascii="宋体" w:hAnsi="宋体" w:cs="宋体"/>
          <w:color w:val="auto"/>
          <w:sz w:val="24"/>
          <w:szCs w:val="24"/>
        </w:rPr>
        <w:t>应根据招标项目需求和投标文件格式编制投标文件，保证其真实有效，并承担相应的法律责任。</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13.3 </w:t>
      </w:r>
      <w:r>
        <w:rPr>
          <w:rFonts w:hint="eastAsia" w:ascii="宋体" w:hAnsi="宋体" w:cs="宋体"/>
          <w:color w:val="auto"/>
          <w:sz w:val="24"/>
          <w:szCs w:val="24"/>
          <w:lang w:eastAsia="zh-CN"/>
        </w:rPr>
        <w:t>供应商</w:t>
      </w:r>
      <w:r>
        <w:rPr>
          <w:rFonts w:hint="eastAsia" w:ascii="宋体" w:hAnsi="宋体" w:cs="宋体"/>
          <w:color w:val="auto"/>
          <w:sz w:val="24"/>
          <w:szCs w:val="24"/>
        </w:rPr>
        <w:t>应对投标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pPr>
        <w:spacing w:after="0" w:line="560" w:lineRule="exact"/>
        <w:rPr>
          <w:rFonts w:ascii="宋体" w:hAnsi="宋体" w:cs="宋体"/>
          <w:color w:val="auto"/>
          <w:sz w:val="24"/>
          <w:szCs w:val="24"/>
        </w:rPr>
      </w:pPr>
      <w:r>
        <w:rPr>
          <w:rFonts w:hint="eastAsia" w:ascii="宋体" w:hAnsi="宋体" w:cs="宋体"/>
          <w:color w:val="auto"/>
          <w:sz w:val="24"/>
          <w:szCs w:val="24"/>
        </w:rPr>
        <w:t>14. 投标语言及计量单位</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14.1 </w:t>
      </w:r>
      <w:r>
        <w:rPr>
          <w:rFonts w:hint="eastAsia" w:ascii="宋体" w:hAnsi="宋体" w:cs="宋体"/>
          <w:color w:val="auto"/>
          <w:sz w:val="24"/>
          <w:szCs w:val="24"/>
          <w:lang w:eastAsia="zh-CN"/>
        </w:rPr>
        <w:t>供应商</w:t>
      </w:r>
      <w:r>
        <w:rPr>
          <w:rFonts w:hint="eastAsia" w:ascii="宋体" w:hAnsi="宋体" w:cs="宋体"/>
          <w:color w:val="auto"/>
          <w:sz w:val="24"/>
          <w:szCs w:val="24"/>
        </w:rPr>
        <w:t>和采购代理机构就投标交换的文件和来往信件，应以中文书写，全部辅助材料及证明材料均应有中文文本，并以中文文本为准。外文资料必须提供中文译文，并保证与原文内容一致，否则</w:t>
      </w:r>
      <w:r>
        <w:rPr>
          <w:rFonts w:hint="eastAsia" w:ascii="宋体" w:hAnsi="宋体" w:cs="宋体"/>
          <w:color w:val="auto"/>
          <w:sz w:val="24"/>
          <w:szCs w:val="24"/>
          <w:lang w:eastAsia="zh-CN"/>
        </w:rPr>
        <w:t>供应商</w:t>
      </w:r>
      <w:r>
        <w:rPr>
          <w:rFonts w:hint="eastAsia" w:ascii="宋体" w:hAnsi="宋体" w:cs="宋体"/>
          <w:color w:val="auto"/>
          <w:sz w:val="24"/>
          <w:szCs w:val="24"/>
        </w:rPr>
        <w:t>将承担相应法律责任。除签名、盖章、专用名称等特殊情形外，以中文以外的文字表述的投标文件，评标委员会有权拒绝其投标。</w:t>
      </w:r>
    </w:p>
    <w:p>
      <w:pPr>
        <w:spacing w:after="0" w:line="560" w:lineRule="exact"/>
        <w:rPr>
          <w:rFonts w:ascii="宋体" w:hAnsi="宋体" w:cs="宋体"/>
          <w:color w:val="auto"/>
          <w:sz w:val="24"/>
          <w:szCs w:val="24"/>
        </w:rPr>
      </w:pPr>
      <w:r>
        <w:rPr>
          <w:rFonts w:hint="eastAsia" w:ascii="宋体" w:hAnsi="宋体" w:cs="宋体"/>
          <w:color w:val="auto"/>
          <w:sz w:val="24"/>
          <w:szCs w:val="24"/>
        </w:rPr>
        <w:t>14.2 除招标文件中另有规定外，投标文件所使用的计量单位均应使用中华人民共和国法定计量单位。</w:t>
      </w:r>
    </w:p>
    <w:p>
      <w:pPr>
        <w:spacing w:after="0" w:line="560" w:lineRule="exact"/>
        <w:rPr>
          <w:rFonts w:ascii="宋体" w:hAnsi="宋体" w:cs="宋体"/>
          <w:color w:val="auto"/>
          <w:sz w:val="24"/>
          <w:szCs w:val="24"/>
        </w:rPr>
      </w:pPr>
      <w:r>
        <w:rPr>
          <w:rFonts w:hint="eastAsia" w:ascii="宋体" w:hAnsi="宋体" w:cs="宋体"/>
          <w:color w:val="auto"/>
          <w:sz w:val="24"/>
          <w:szCs w:val="24"/>
        </w:rPr>
        <w:t>15. 投标文件格式</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15.1 </w:t>
      </w:r>
      <w:r>
        <w:rPr>
          <w:rFonts w:hint="eastAsia" w:ascii="宋体" w:hAnsi="宋体" w:cs="宋体"/>
          <w:color w:val="auto"/>
          <w:sz w:val="24"/>
          <w:szCs w:val="24"/>
          <w:lang w:eastAsia="zh-CN"/>
        </w:rPr>
        <w:t>供应商</w:t>
      </w:r>
      <w:r>
        <w:rPr>
          <w:rFonts w:hint="eastAsia" w:ascii="宋体" w:hAnsi="宋体" w:cs="宋体"/>
          <w:color w:val="auto"/>
          <w:sz w:val="24"/>
          <w:szCs w:val="24"/>
        </w:rPr>
        <w:t>应按招标文件中提供的投标文件格式完整填写。因不按要求编制而引起系统无法检索、读取相关信息时，其后果由</w:t>
      </w:r>
      <w:r>
        <w:rPr>
          <w:rFonts w:hint="eastAsia" w:ascii="宋体" w:hAnsi="宋体" w:cs="宋体"/>
          <w:color w:val="auto"/>
          <w:sz w:val="24"/>
          <w:szCs w:val="24"/>
          <w:lang w:eastAsia="zh-CN"/>
        </w:rPr>
        <w:t>供应商</w:t>
      </w:r>
      <w:r>
        <w:rPr>
          <w:rFonts w:hint="eastAsia" w:ascii="宋体" w:hAnsi="宋体" w:cs="宋体"/>
          <w:color w:val="auto"/>
          <w:sz w:val="24"/>
          <w:szCs w:val="24"/>
        </w:rPr>
        <w:t>自行承担。</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15.2 </w:t>
      </w:r>
      <w:r>
        <w:rPr>
          <w:rFonts w:hint="eastAsia" w:ascii="宋体" w:hAnsi="宋体" w:cs="宋体"/>
          <w:color w:val="auto"/>
          <w:sz w:val="24"/>
          <w:szCs w:val="24"/>
          <w:lang w:eastAsia="zh-CN"/>
        </w:rPr>
        <w:t>供应商</w:t>
      </w:r>
      <w:r>
        <w:rPr>
          <w:rFonts w:hint="eastAsia" w:ascii="宋体" w:hAnsi="宋体" w:cs="宋体"/>
          <w:color w:val="auto"/>
          <w:sz w:val="24"/>
          <w:szCs w:val="24"/>
        </w:rPr>
        <w:t>可对本招标文件“招标项目要求”所列的所有货物进行投标，也可只对其中一包或几包的货物投标；若无特殊说明，每一包的内容不得分项投标，采购人原则上按照整包确定中标供应商。</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15.3 </w:t>
      </w:r>
      <w:r>
        <w:rPr>
          <w:rFonts w:hint="eastAsia" w:ascii="宋体" w:hAnsi="宋体" w:cs="宋体"/>
          <w:color w:val="auto"/>
          <w:sz w:val="24"/>
          <w:szCs w:val="24"/>
          <w:lang w:eastAsia="zh-CN"/>
        </w:rPr>
        <w:t>供应商</w:t>
      </w:r>
      <w:r>
        <w:rPr>
          <w:rFonts w:hint="eastAsia" w:ascii="宋体" w:hAnsi="宋体" w:cs="宋体"/>
          <w:color w:val="auto"/>
          <w:sz w:val="24"/>
          <w:szCs w:val="24"/>
        </w:rPr>
        <w:t>根据招标文件的规定和采购项目的实际情况，拟在中标后将中标项目的非主体、非关键性工作分包的，应当在投标文件中载明分包承担主体，分包承担主体应当具备相应资质条件且不得再次分包。</w:t>
      </w:r>
    </w:p>
    <w:p>
      <w:pPr>
        <w:spacing w:after="0" w:line="560" w:lineRule="exact"/>
        <w:rPr>
          <w:rFonts w:ascii="宋体" w:hAnsi="宋体" w:cs="宋体"/>
          <w:color w:val="auto"/>
          <w:sz w:val="24"/>
          <w:szCs w:val="24"/>
        </w:rPr>
      </w:pPr>
      <w:r>
        <w:rPr>
          <w:rFonts w:hint="eastAsia" w:ascii="宋体" w:hAnsi="宋体" w:cs="宋体"/>
          <w:color w:val="auto"/>
          <w:sz w:val="24"/>
          <w:szCs w:val="24"/>
        </w:rPr>
        <w:t>15.4如投标多个包的，要求按包分别独立制作投标文件。</w:t>
      </w:r>
    </w:p>
    <w:p>
      <w:pPr>
        <w:spacing w:after="0" w:line="560" w:lineRule="exact"/>
        <w:rPr>
          <w:rFonts w:ascii="宋体" w:hAnsi="宋体" w:cs="宋体"/>
          <w:color w:val="auto"/>
          <w:sz w:val="24"/>
          <w:szCs w:val="24"/>
        </w:rPr>
      </w:pPr>
      <w:r>
        <w:rPr>
          <w:rFonts w:hint="eastAsia" w:ascii="宋体" w:hAnsi="宋体" w:cs="宋体"/>
          <w:color w:val="auto"/>
          <w:sz w:val="24"/>
          <w:szCs w:val="24"/>
        </w:rPr>
        <w:t>15.5投标文件（包括封面和目录）的每一页，从封面开始按阿拉伯数字1、2、3…顺序编制页码。</w:t>
      </w:r>
    </w:p>
    <w:p>
      <w:pPr>
        <w:spacing w:after="0" w:line="560" w:lineRule="exact"/>
        <w:rPr>
          <w:rFonts w:ascii="宋体" w:hAnsi="宋体" w:cs="宋体"/>
          <w:color w:val="auto"/>
          <w:sz w:val="24"/>
          <w:szCs w:val="24"/>
        </w:rPr>
      </w:pPr>
      <w:r>
        <w:rPr>
          <w:rFonts w:hint="eastAsia" w:ascii="宋体" w:hAnsi="宋体" w:cs="宋体"/>
          <w:color w:val="auto"/>
          <w:sz w:val="24"/>
          <w:szCs w:val="24"/>
        </w:rPr>
        <w:t>16. 投标报价</w:t>
      </w:r>
    </w:p>
    <w:p>
      <w:pPr>
        <w:spacing w:after="0" w:line="560" w:lineRule="exact"/>
        <w:rPr>
          <w:rFonts w:ascii="宋体" w:hAnsi="宋体" w:cs="宋体"/>
          <w:color w:val="auto"/>
          <w:sz w:val="24"/>
          <w:szCs w:val="24"/>
        </w:rPr>
      </w:pPr>
      <w:r>
        <w:rPr>
          <w:rFonts w:hint="eastAsia" w:ascii="宋体" w:hAnsi="宋体" w:cs="宋体"/>
          <w:color w:val="auto"/>
          <w:sz w:val="24"/>
          <w:szCs w:val="24"/>
        </w:rPr>
        <w:t>16.1 投标书、开标一览表等各表中的报价，若无特殊说明应采用人民币填报。</w:t>
      </w:r>
    </w:p>
    <w:p>
      <w:pPr>
        <w:spacing w:after="0" w:line="560" w:lineRule="exact"/>
        <w:rPr>
          <w:rFonts w:ascii="宋体" w:hAnsi="宋体" w:cs="宋体"/>
          <w:color w:val="auto"/>
          <w:sz w:val="24"/>
          <w:szCs w:val="24"/>
        </w:rPr>
      </w:pPr>
      <w:r>
        <w:rPr>
          <w:rFonts w:hint="eastAsia" w:ascii="宋体" w:hAnsi="宋体" w:cs="宋体"/>
          <w:color w:val="auto"/>
          <w:sz w:val="24"/>
          <w:szCs w:val="24"/>
        </w:rPr>
        <w:t>16.2 投标报价是为完成招标文件规定的一切工作所需的全部费用的最终优惠价格。</w:t>
      </w:r>
    </w:p>
    <w:p>
      <w:pPr>
        <w:spacing w:after="0" w:line="560" w:lineRule="exact"/>
        <w:rPr>
          <w:rFonts w:ascii="宋体" w:hAnsi="宋体" w:cs="宋体"/>
          <w:color w:val="auto"/>
          <w:sz w:val="24"/>
          <w:szCs w:val="24"/>
        </w:rPr>
      </w:pPr>
      <w:r>
        <w:rPr>
          <w:rFonts w:hint="eastAsia" w:ascii="宋体" w:hAnsi="宋体" w:cs="宋体"/>
          <w:color w:val="auto"/>
          <w:sz w:val="24"/>
          <w:szCs w:val="24"/>
        </w:rPr>
        <w:t>16.3 除《招标项目需求》中说明并允许外，投标的每一个货物、服务的单项报价以及采购项目的投标总价均只允许有一个报价，任何有选择的报价，采购人、采购代理机构均将予以拒绝。</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17. </w:t>
      </w:r>
      <w:r>
        <w:rPr>
          <w:rFonts w:hint="eastAsia" w:ascii="宋体" w:hAnsi="宋体" w:cs="宋体"/>
          <w:color w:val="auto"/>
          <w:sz w:val="24"/>
          <w:szCs w:val="24"/>
          <w:lang w:eastAsia="zh-CN"/>
        </w:rPr>
        <w:t>供应商</w:t>
      </w:r>
      <w:r>
        <w:rPr>
          <w:rFonts w:hint="eastAsia" w:ascii="宋体" w:hAnsi="宋体" w:cs="宋体"/>
          <w:color w:val="auto"/>
          <w:sz w:val="24"/>
          <w:szCs w:val="24"/>
        </w:rPr>
        <w:t>资格证明文件</w:t>
      </w:r>
    </w:p>
    <w:p>
      <w:pPr>
        <w:spacing w:after="0" w:line="560" w:lineRule="exact"/>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必须提交证明其有资格进行投标和有能力履行合同的文件，作为投标文件的一部分。</w:t>
      </w:r>
    </w:p>
    <w:p>
      <w:pPr>
        <w:spacing w:after="0" w:line="560" w:lineRule="exact"/>
        <w:rPr>
          <w:rFonts w:ascii="宋体" w:hAnsi="宋体" w:cs="宋体"/>
          <w:color w:val="auto"/>
          <w:sz w:val="24"/>
          <w:szCs w:val="24"/>
        </w:rPr>
      </w:pPr>
      <w:r>
        <w:rPr>
          <w:rFonts w:hint="eastAsia" w:ascii="宋体" w:hAnsi="宋体" w:cs="宋体"/>
          <w:color w:val="auto"/>
          <w:sz w:val="24"/>
          <w:szCs w:val="24"/>
        </w:rPr>
        <w:t>（1）《投标邀请函》中规定的供应商资格要求（实质性要求）证明文件；</w:t>
      </w:r>
    </w:p>
    <w:p>
      <w:pPr>
        <w:spacing w:after="0" w:line="560" w:lineRule="exact"/>
        <w:rPr>
          <w:rFonts w:ascii="宋体" w:hAnsi="宋体" w:cs="宋体"/>
          <w:color w:val="auto"/>
          <w:sz w:val="24"/>
          <w:szCs w:val="24"/>
        </w:rPr>
      </w:pPr>
      <w:r>
        <w:rPr>
          <w:rFonts w:hint="eastAsia" w:ascii="宋体" w:hAnsi="宋体" w:cs="宋体"/>
          <w:color w:val="auto"/>
          <w:sz w:val="24"/>
          <w:szCs w:val="24"/>
        </w:rPr>
        <w:t>（2）若国家及行业对投标项目有特殊资格要求的，还须提供特殊资格证明文件；</w:t>
      </w:r>
    </w:p>
    <w:p>
      <w:pPr>
        <w:spacing w:after="0" w:line="560" w:lineRule="exact"/>
        <w:rPr>
          <w:rFonts w:ascii="宋体" w:hAnsi="宋体" w:cs="宋体"/>
          <w:color w:val="auto"/>
          <w:sz w:val="24"/>
          <w:szCs w:val="24"/>
        </w:rPr>
      </w:pPr>
      <w:r>
        <w:rPr>
          <w:rFonts w:hint="eastAsia" w:ascii="宋体" w:hAnsi="宋体" w:cs="宋体"/>
          <w:color w:val="auto"/>
          <w:sz w:val="24"/>
          <w:szCs w:val="24"/>
        </w:rPr>
        <w:t>（3）法定代表人授权书；</w:t>
      </w:r>
    </w:p>
    <w:p>
      <w:pPr>
        <w:spacing w:after="0" w:line="560" w:lineRule="exact"/>
        <w:rPr>
          <w:rFonts w:ascii="宋体" w:hAnsi="宋体" w:cs="宋体"/>
          <w:color w:val="auto"/>
          <w:sz w:val="24"/>
          <w:szCs w:val="24"/>
        </w:rPr>
      </w:pPr>
      <w:r>
        <w:rPr>
          <w:rFonts w:hint="eastAsia" w:ascii="宋体" w:hAnsi="宋体" w:cs="宋体"/>
          <w:color w:val="auto"/>
          <w:sz w:val="24"/>
          <w:szCs w:val="24"/>
        </w:rPr>
        <w:t>（4）涉及本须知中“4. 合格的</w:t>
      </w:r>
      <w:r>
        <w:rPr>
          <w:rFonts w:hint="eastAsia" w:ascii="宋体" w:hAnsi="宋体" w:cs="宋体"/>
          <w:color w:val="auto"/>
          <w:sz w:val="24"/>
          <w:szCs w:val="24"/>
          <w:lang w:eastAsia="zh-CN"/>
        </w:rPr>
        <w:t>供应商</w:t>
      </w:r>
      <w:r>
        <w:rPr>
          <w:rFonts w:hint="eastAsia" w:ascii="宋体" w:hAnsi="宋体" w:cs="宋体"/>
          <w:color w:val="auto"/>
          <w:sz w:val="24"/>
          <w:szCs w:val="24"/>
        </w:rPr>
        <w:t>”相关要求的，按其要求执行。</w:t>
      </w:r>
    </w:p>
    <w:p>
      <w:pPr>
        <w:spacing w:after="0" w:line="560" w:lineRule="exact"/>
        <w:rPr>
          <w:rFonts w:ascii="宋体" w:hAnsi="宋体" w:cs="宋体"/>
          <w:color w:val="auto"/>
          <w:sz w:val="24"/>
          <w:szCs w:val="24"/>
        </w:rPr>
      </w:pPr>
      <w:r>
        <w:rPr>
          <w:rFonts w:hint="eastAsia" w:ascii="宋体" w:hAnsi="宋体" w:cs="宋体"/>
          <w:color w:val="auto"/>
          <w:sz w:val="24"/>
          <w:szCs w:val="24"/>
        </w:rPr>
        <w:t>18. 技术</w:t>
      </w:r>
      <w:r>
        <w:rPr>
          <w:rFonts w:hint="eastAsia" w:ascii="宋体" w:hAnsi="宋体" w:cs="宋体"/>
          <w:color w:val="auto"/>
          <w:sz w:val="24"/>
          <w:szCs w:val="24"/>
          <w:lang w:val="en-US" w:eastAsia="zh-CN"/>
        </w:rPr>
        <w:t>投标</w:t>
      </w:r>
      <w:r>
        <w:rPr>
          <w:rFonts w:hint="eastAsia" w:ascii="宋体" w:hAnsi="宋体" w:cs="宋体"/>
          <w:color w:val="auto"/>
          <w:sz w:val="24"/>
          <w:szCs w:val="24"/>
        </w:rPr>
        <w:t>文件</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18.1 </w:t>
      </w:r>
      <w:r>
        <w:rPr>
          <w:rFonts w:hint="eastAsia" w:ascii="宋体" w:hAnsi="宋体" w:cs="宋体"/>
          <w:color w:val="auto"/>
          <w:sz w:val="24"/>
          <w:szCs w:val="24"/>
          <w:lang w:eastAsia="zh-CN"/>
        </w:rPr>
        <w:t>供应商</w:t>
      </w:r>
      <w:r>
        <w:rPr>
          <w:rFonts w:hint="eastAsia" w:ascii="宋体" w:hAnsi="宋体" w:cs="宋体"/>
          <w:color w:val="auto"/>
          <w:sz w:val="24"/>
          <w:szCs w:val="24"/>
        </w:rPr>
        <w:t>须提交证明其拟供货物符合招标文件规定的技术</w:t>
      </w:r>
      <w:r>
        <w:rPr>
          <w:rFonts w:hint="eastAsia" w:ascii="宋体" w:hAnsi="宋体" w:cs="宋体"/>
          <w:color w:val="auto"/>
          <w:sz w:val="24"/>
          <w:szCs w:val="24"/>
          <w:lang w:val="en-US" w:eastAsia="zh-CN"/>
        </w:rPr>
        <w:t>投标</w:t>
      </w:r>
      <w:r>
        <w:rPr>
          <w:rFonts w:hint="eastAsia" w:ascii="宋体" w:hAnsi="宋体" w:cs="宋体"/>
          <w:color w:val="auto"/>
          <w:sz w:val="24"/>
          <w:szCs w:val="24"/>
        </w:rPr>
        <w:t>文件，作为投标文件的一部分。</w:t>
      </w:r>
    </w:p>
    <w:p>
      <w:pPr>
        <w:spacing w:after="0" w:line="560" w:lineRule="exact"/>
        <w:rPr>
          <w:rFonts w:ascii="宋体" w:hAnsi="宋体" w:cs="宋体"/>
          <w:color w:val="auto"/>
          <w:sz w:val="24"/>
          <w:szCs w:val="24"/>
        </w:rPr>
      </w:pPr>
      <w:r>
        <w:rPr>
          <w:rFonts w:hint="eastAsia" w:ascii="宋体" w:hAnsi="宋体" w:cs="宋体"/>
          <w:color w:val="auto"/>
          <w:sz w:val="24"/>
          <w:szCs w:val="24"/>
        </w:rPr>
        <w:t>18.2 上述文件可以是文字资料、图纸或数据，并须提供：</w:t>
      </w:r>
    </w:p>
    <w:p>
      <w:pPr>
        <w:spacing w:after="0" w:line="560" w:lineRule="exact"/>
        <w:rPr>
          <w:rFonts w:ascii="宋体" w:hAnsi="宋体" w:cs="宋体"/>
          <w:color w:val="auto"/>
          <w:sz w:val="24"/>
          <w:szCs w:val="24"/>
        </w:rPr>
      </w:pPr>
      <w:r>
        <w:rPr>
          <w:rFonts w:hint="eastAsia" w:ascii="宋体" w:hAnsi="宋体" w:cs="宋体"/>
          <w:color w:val="auto"/>
          <w:sz w:val="24"/>
          <w:szCs w:val="24"/>
        </w:rPr>
        <w:t>（1）货物主要技术性能的详细描述；</w:t>
      </w:r>
    </w:p>
    <w:p>
      <w:pPr>
        <w:spacing w:after="0" w:line="560" w:lineRule="exact"/>
        <w:rPr>
          <w:rFonts w:ascii="宋体" w:hAnsi="宋体" w:cs="宋体"/>
          <w:color w:val="auto"/>
          <w:sz w:val="24"/>
          <w:szCs w:val="24"/>
        </w:rPr>
      </w:pPr>
      <w:r>
        <w:rPr>
          <w:rFonts w:hint="eastAsia" w:ascii="宋体" w:hAnsi="宋体" w:cs="宋体"/>
          <w:color w:val="auto"/>
          <w:sz w:val="24"/>
          <w:szCs w:val="24"/>
        </w:rPr>
        <w:t>（2）保证货物从采购人开始使用至招标文件规定的保修期内正常和连续运转期间所需要的所有备件和专用工具的详细清单，包括其现行价格和供货来源资料；</w:t>
      </w:r>
    </w:p>
    <w:p>
      <w:pPr>
        <w:spacing w:after="0" w:line="560" w:lineRule="exact"/>
        <w:rPr>
          <w:rFonts w:ascii="宋体" w:hAnsi="宋体" w:cs="宋体"/>
          <w:color w:val="auto"/>
          <w:sz w:val="24"/>
          <w:szCs w:val="24"/>
        </w:rPr>
      </w:pPr>
      <w:r>
        <w:rPr>
          <w:rFonts w:hint="eastAsia" w:ascii="宋体" w:hAnsi="宋体" w:cs="宋体"/>
          <w:color w:val="auto"/>
          <w:sz w:val="24"/>
          <w:szCs w:val="24"/>
        </w:rPr>
        <w:t>（3）逐条对招标文件要求的技术规格进行评议，并按招标文件所附格式完整地填写《技术要求点对点应答表》，说明自己所投标的货物和相关服务内容与采购人、采购代理机构相应要求的偏离情况。</w:t>
      </w:r>
    </w:p>
    <w:p>
      <w:pPr>
        <w:spacing w:after="0" w:line="560" w:lineRule="exact"/>
        <w:rPr>
          <w:rFonts w:ascii="宋体" w:hAnsi="宋体" w:cs="宋体"/>
          <w:color w:val="auto"/>
          <w:sz w:val="24"/>
          <w:szCs w:val="24"/>
        </w:rPr>
      </w:pPr>
      <w:r>
        <w:rPr>
          <w:rFonts w:hint="eastAsia" w:ascii="宋体" w:hAnsi="宋体" w:cs="宋体"/>
          <w:color w:val="auto"/>
          <w:sz w:val="24"/>
          <w:szCs w:val="24"/>
        </w:rPr>
        <w:t>18.3 投标文件中设备的性能指标应达到或优于招标文件中所列技术指标。</w:t>
      </w:r>
      <w:r>
        <w:rPr>
          <w:rFonts w:hint="eastAsia" w:ascii="宋体" w:hAnsi="宋体" w:cs="宋体"/>
          <w:color w:val="auto"/>
          <w:sz w:val="24"/>
          <w:szCs w:val="24"/>
          <w:lang w:eastAsia="zh-CN"/>
        </w:rPr>
        <w:t>供应商</w:t>
      </w:r>
      <w:r>
        <w:rPr>
          <w:rFonts w:hint="eastAsia" w:ascii="宋体" w:hAnsi="宋体" w:cs="宋体"/>
          <w:color w:val="auto"/>
          <w:sz w:val="24"/>
          <w:szCs w:val="24"/>
        </w:rPr>
        <w:t>应注意招标文件中所列技术指标仅列出了最低限度。</w:t>
      </w:r>
      <w:r>
        <w:rPr>
          <w:rFonts w:hint="eastAsia" w:ascii="宋体" w:hAnsi="宋体" w:cs="宋体"/>
          <w:color w:val="auto"/>
          <w:sz w:val="24"/>
          <w:szCs w:val="24"/>
          <w:lang w:eastAsia="zh-CN"/>
        </w:rPr>
        <w:t>供应商</w:t>
      </w:r>
      <w:r>
        <w:rPr>
          <w:rFonts w:hint="eastAsia" w:ascii="宋体" w:hAnsi="宋体" w:cs="宋体"/>
          <w:color w:val="auto"/>
          <w:sz w:val="24"/>
          <w:szCs w:val="24"/>
        </w:rPr>
        <w:t>在《技术要求点对点应答表》“项目需求书要求”的投标应答中必须列出具体数值或内容。如</w:t>
      </w:r>
      <w:r>
        <w:rPr>
          <w:rFonts w:hint="eastAsia" w:ascii="宋体" w:hAnsi="宋体" w:cs="宋体"/>
          <w:color w:val="auto"/>
          <w:sz w:val="24"/>
          <w:szCs w:val="24"/>
          <w:lang w:eastAsia="zh-CN"/>
        </w:rPr>
        <w:t>供应商</w:t>
      </w:r>
      <w:r>
        <w:rPr>
          <w:rFonts w:hint="eastAsia" w:ascii="宋体" w:hAnsi="宋体" w:cs="宋体"/>
          <w:color w:val="auto"/>
          <w:sz w:val="24"/>
          <w:szCs w:val="24"/>
        </w:rPr>
        <w:t>未应答或只注明“符合”、“满足”等类似无具体内容的表述，将被视为不符合招标文件要求。</w:t>
      </w:r>
      <w:r>
        <w:rPr>
          <w:rFonts w:hint="eastAsia" w:ascii="宋体" w:hAnsi="宋体" w:cs="宋体"/>
          <w:color w:val="auto"/>
          <w:sz w:val="24"/>
          <w:szCs w:val="24"/>
          <w:lang w:eastAsia="zh-CN"/>
        </w:rPr>
        <w:t>供应商</w:t>
      </w:r>
      <w:r>
        <w:rPr>
          <w:rFonts w:hint="eastAsia" w:ascii="宋体" w:hAnsi="宋体" w:cs="宋体"/>
          <w:color w:val="auto"/>
          <w:sz w:val="24"/>
          <w:szCs w:val="24"/>
        </w:rPr>
        <w:t>自行承担由此造成的一切后果。</w:t>
      </w:r>
    </w:p>
    <w:p>
      <w:pPr>
        <w:spacing w:after="0" w:line="560" w:lineRule="exact"/>
        <w:rPr>
          <w:rFonts w:ascii="宋体" w:hAnsi="宋体" w:cs="宋体"/>
          <w:color w:val="auto"/>
          <w:sz w:val="24"/>
          <w:szCs w:val="24"/>
        </w:rPr>
      </w:pPr>
      <w:r>
        <w:rPr>
          <w:rFonts w:hint="eastAsia" w:ascii="宋体" w:hAnsi="宋体" w:cs="宋体"/>
          <w:color w:val="auto"/>
          <w:sz w:val="24"/>
          <w:szCs w:val="24"/>
        </w:rPr>
        <w:t>19. 投标保证金</w:t>
      </w:r>
    </w:p>
    <w:p>
      <w:pPr>
        <w:spacing w:after="0" w:line="560" w:lineRule="exact"/>
        <w:rPr>
          <w:rFonts w:ascii="宋体" w:hAnsi="宋体" w:cs="宋体"/>
          <w:color w:val="auto"/>
          <w:sz w:val="24"/>
          <w:szCs w:val="24"/>
        </w:rPr>
      </w:pPr>
      <w:r>
        <w:rPr>
          <w:rFonts w:hint="eastAsia" w:ascii="宋体" w:hAnsi="宋体" w:cs="宋体"/>
          <w:color w:val="auto"/>
          <w:sz w:val="24"/>
          <w:szCs w:val="24"/>
        </w:rPr>
        <w:t>19.1 按照《招标项目要求》要求执行。</w:t>
      </w:r>
    </w:p>
    <w:p>
      <w:pPr>
        <w:spacing w:after="0" w:line="560" w:lineRule="exact"/>
        <w:rPr>
          <w:rFonts w:ascii="宋体" w:hAnsi="宋体" w:cs="宋体"/>
          <w:color w:val="auto"/>
          <w:sz w:val="24"/>
          <w:szCs w:val="24"/>
        </w:rPr>
      </w:pPr>
      <w:r>
        <w:rPr>
          <w:rFonts w:hint="eastAsia" w:ascii="宋体" w:hAnsi="宋体" w:cs="宋体"/>
          <w:color w:val="auto"/>
          <w:sz w:val="24"/>
          <w:szCs w:val="24"/>
        </w:rPr>
        <w:t>19.2 符合《政府采购货物和服务招标投标管理办法》和《政府采购法实施条例》相关规定。</w:t>
      </w:r>
    </w:p>
    <w:p>
      <w:pPr>
        <w:spacing w:after="0" w:line="560" w:lineRule="exact"/>
        <w:rPr>
          <w:rFonts w:ascii="宋体" w:hAnsi="宋体" w:cs="宋体"/>
          <w:color w:val="auto"/>
          <w:sz w:val="24"/>
          <w:szCs w:val="24"/>
        </w:rPr>
      </w:pPr>
      <w:r>
        <w:rPr>
          <w:rFonts w:hint="eastAsia" w:ascii="宋体" w:hAnsi="宋体" w:cs="宋体"/>
          <w:color w:val="auto"/>
          <w:sz w:val="24"/>
          <w:szCs w:val="24"/>
        </w:rPr>
        <w:t>20. 投标有效期</w:t>
      </w:r>
    </w:p>
    <w:p>
      <w:pPr>
        <w:spacing w:after="0" w:line="560" w:lineRule="exact"/>
        <w:rPr>
          <w:rFonts w:ascii="宋体" w:hAnsi="宋体" w:cs="宋体"/>
          <w:color w:val="auto"/>
          <w:sz w:val="24"/>
          <w:szCs w:val="24"/>
        </w:rPr>
      </w:pPr>
      <w:r>
        <w:rPr>
          <w:rFonts w:hint="eastAsia" w:ascii="宋体" w:hAnsi="宋体" w:cs="宋体"/>
          <w:color w:val="auto"/>
          <w:sz w:val="24"/>
          <w:szCs w:val="24"/>
        </w:rPr>
        <w:t>20.1 投标有效期为提交投标文件的截止之日起60天。投标书中规定的有效期短于招标文件规定的，其投标将被拒绝。</w:t>
      </w:r>
    </w:p>
    <w:p>
      <w:pPr>
        <w:spacing w:after="0" w:line="560" w:lineRule="exact"/>
        <w:rPr>
          <w:rFonts w:ascii="宋体" w:hAnsi="宋体" w:cs="宋体"/>
          <w:color w:val="auto"/>
          <w:sz w:val="24"/>
          <w:szCs w:val="24"/>
        </w:rPr>
      </w:pPr>
      <w:r>
        <w:rPr>
          <w:rFonts w:hint="eastAsia" w:ascii="宋体" w:hAnsi="宋体" w:cs="宋体"/>
          <w:color w:val="auto"/>
          <w:sz w:val="24"/>
          <w:szCs w:val="24"/>
        </w:rPr>
        <w:t>20.2 特殊情况下，采购代理机构可于投标有效期满之前，向</w:t>
      </w:r>
      <w:r>
        <w:rPr>
          <w:rFonts w:hint="eastAsia" w:ascii="宋体" w:hAnsi="宋体" w:cs="宋体"/>
          <w:color w:val="auto"/>
          <w:sz w:val="24"/>
          <w:szCs w:val="24"/>
          <w:lang w:eastAsia="zh-CN"/>
        </w:rPr>
        <w:t>供应商</w:t>
      </w:r>
      <w:r>
        <w:rPr>
          <w:rFonts w:hint="eastAsia" w:ascii="宋体" w:hAnsi="宋体" w:cs="宋体"/>
          <w:color w:val="auto"/>
          <w:sz w:val="24"/>
          <w:szCs w:val="24"/>
        </w:rPr>
        <w:t>提出延长投标有效期的要求。答复应以书面形式进行。</w:t>
      </w:r>
      <w:r>
        <w:rPr>
          <w:rFonts w:hint="eastAsia" w:ascii="宋体" w:hAnsi="宋体" w:cs="宋体"/>
          <w:color w:val="auto"/>
          <w:sz w:val="24"/>
          <w:szCs w:val="24"/>
          <w:lang w:eastAsia="zh-CN"/>
        </w:rPr>
        <w:t>供应商</w:t>
      </w:r>
      <w:r>
        <w:rPr>
          <w:rFonts w:hint="eastAsia" w:ascii="宋体" w:hAnsi="宋体" w:cs="宋体"/>
          <w:color w:val="auto"/>
          <w:sz w:val="24"/>
          <w:szCs w:val="24"/>
        </w:rPr>
        <w:t>可以拒绝上述要求，但不被没收投标保证金。对于同意该要求的</w:t>
      </w:r>
      <w:r>
        <w:rPr>
          <w:rFonts w:hint="eastAsia" w:ascii="宋体" w:hAnsi="宋体" w:cs="宋体"/>
          <w:color w:val="auto"/>
          <w:sz w:val="24"/>
          <w:szCs w:val="24"/>
          <w:lang w:eastAsia="zh-CN"/>
        </w:rPr>
        <w:t>供应商</w:t>
      </w:r>
      <w:r>
        <w:rPr>
          <w:rFonts w:hint="eastAsia" w:ascii="宋体" w:hAnsi="宋体" w:cs="宋体"/>
          <w:color w:val="auto"/>
          <w:sz w:val="24"/>
          <w:szCs w:val="24"/>
        </w:rPr>
        <w:t>，既不要求也不允许其修改投标文件，但将要求其延长投标保证金的有效期。</w:t>
      </w:r>
    </w:p>
    <w:p>
      <w:pPr>
        <w:spacing w:after="0" w:line="560" w:lineRule="exact"/>
        <w:rPr>
          <w:rFonts w:ascii="宋体" w:hAnsi="宋体" w:cs="宋体"/>
          <w:color w:val="auto"/>
          <w:sz w:val="24"/>
          <w:szCs w:val="24"/>
        </w:rPr>
      </w:pPr>
      <w:r>
        <w:rPr>
          <w:rFonts w:hint="eastAsia" w:ascii="宋体" w:hAnsi="宋体" w:cs="宋体"/>
          <w:color w:val="auto"/>
          <w:sz w:val="24"/>
          <w:szCs w:val="24"/>
        </w:rPr>
        <w:t>21. 投标文件的签署及规定</w:t>
      </w:r>
    </w:p>
    <w:p>
      <w:pPr>
        <w:spacing w:after="0" w:line="560" w:lineRule="exact"/>
        <w:rPr>
          <w:rFonts w:ascii="宋体" w:hAnsi="宋体" w:cs="宋体"/>
          <w:color w:val="auto"/>
          <w:sz w:val="24"/>
          <w:szCs w:val="24"/>
        </w:rPr>
      </w:pPr>
      <w:r>
        <w:rPr>
          <w:rFonts w:hint="eastAsia" w:ascii="宋体" w:hAnsi="宋体" w:cs="宋体"/>
          <w:color w:val="auto"/>
          <w:sz w:val="24"/>
          <w:szCs w:val="24"/>
        </w:rPr>
        <w:t>21.1 投标文件应按《招标项目要求》和《投标文件格式》如实编写，未尽事宜可自行补充。投标文件内容不完整、格式不符合导致投标文件被误读、漏读或者查找不到相关内容的，</w:t>
      </w:r>
      <w:r>
        <w:rPr>
          <w:rFonts w:hint="eastAsia" w:ascii="宋体" w:hAnsi="宋体" w:cs="宋体"/>
          <w:color w:val="auto"/>
          <w:sz w:val="24"/>
          <w:szCs w:val="24"/>
          <w:lang w:eastAsia="zh-CN"/>
        </w:rPr>
        <w:t>供应商</w:t>
      </w:r>
      <w:r>
        <w:rPr>
          <w:rFonts w:hint="eastAsia" w:ascii="宋体" w:hAnsi="宋体" w:cs="宋体"/>
          <w:color w:val="auto"/>
          <w:sz w:val="24"/>
          <w:szCs w:val="24"/>
        </w:rPr>
        <w:t>自行承担由此产生的风险。</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21.2 </w:t>
      </w:r>
      <w:r>
        <w:rPr>
          <w:rFonts w:hint="eastAsia" w:ascii="宋体" w:hAnsi="宋体" w:cs="宋体"/>
          <w:color w:val="auto"/>
          <w:sz w:val="24"/>
          <w:szCs w:val="24"/>
          <w:lang w:eastAsia="zh-CN"/>
        </w:rPr>
        <w:t>供应商</w:t>
      </w:r>
      <w:r>
        <w:rPr>
          <w:rFonts w:hint="eastAsia" w:ascii="宋体" w:hAnsi="宋体" w:cs="宋体"/>
          <w:color w:val="auto"/>
          <w:sz w:val="24"/>
          <w:szCs w:val="24"/>
        </w:rPr>
        <w:t>按照《投标邀请函》的要求递交纸质投标文件。</w:t>
      </w:r>
    </w:p>
    <w:p>
      <w:pPr>
        <w:spacing w:after="0" w:line="560" w:lineRule="exact"/>
        <w:rPr>
          <w:rFonts w:ascii="宋体" w:hAnsi="宋体" w:cs="宋体"/>
          <w:color w:val="auto"/>
          <w:sz w:val="24"/>
          <w:szCs w:val="24"/>
        </w:rPr>
      </w:pPr>
      <w:r>
        <w:rPr>
          <w:rFonts w:hint="eastAsia" w:ascii="宋体" w:hAnsi="宋体" w:cs="宋体"/>
          <w:color w:val="auto"/>
          <w:sz w:val="24"/>
          <w:szCs w:val="24"/>
        </w:rPr>
        <w:t>22. 投标文件的密封</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22.1 </w:t>
      </w:r>
      <w:r>
        <w:rPr>
          <w:rFonts w:hint="eastAsia" w:ascii="宋体" w:hAnsi="宋体" w:cs="宋体"/>
          <w:color w:val="auto"/>
          <w:sz w:val="24"/>
          <w:szCs w:val="24"/>
          <w:lang w:eastAsia="zh-CN"/>
        </w:rPr>
        <w:t>供应商</w:t>
      </w:r>
      <w:r>
        <w:rPr>
          <w:rFonts w:hint="eastAsia" w:ascii="宋体" w:hAnsi="宋体" w:cs="宋体"/>
          <w:color w:val="auto"/>
          <w:sz w:val="24"/>
          <w:szCs w:val="24"/>
        </w:rPr>
        <w:t>须按包分别独立制作投标文件，每包分别制作一个正本四个副本，同时随投标文件正本提供包含投标文件全部内容（office文档格式）的电子版</w:t>
      </w:r>
      <w:r>
        <w:rPr>
          <w:rFonts w:hint="eastAsia" w:ascii="宋体" w:hAnsi="宋体" w:cs="宋体"/>
          <w:color w:val="auto"/>
          <w:sz w:val="24"/>
          <w:szCs w:val="24"/>
          <w:lang w:eastAsia="zh-CN"/>
        </w:rPr>
        <w:t>U盘</w:t>
      </w:r>
      <w:r>
        <w:rPr>
          <w:rFonts w:hint="eastAsia" w:ascii="宋体" w:hAnsi="宋体" w:cs="宋体"/>
          <w:color w:val="auto"/>
          <w:sz w:val="24"/>
          <w:szCs w:val="24"/>
        </w:rPr>
        <w:t>一份。电子版与纸质</w:t>
      </w:r>
      <w:r>
        <w:rPr>
          <w:rFonts w:hint="eastAsia" w:ascii="宋体" w:hAnsi="宋体" w:cs="宋体"/>
          <w:color w:val="auto"/>
          <w:sz w:val="24"/>
          <w:szCs w:val="24"/>
          <w:lang w:val="en-US" w:eastAsia="zh-CN"/>
        </w:rPr>
        <w:t>投标</w:t>
      </w:r>
      <w:r>
        <w:rPr>
          <w:rFonts w:hint="eastAsia" w:ascii="宋体" w:hAnsi="宋体" w:cs="宋体"/>
          <w:color w:val="auto"/>
          <w:sz w:val="24"/>
          <w:szCs w:val="24"/>
        </w:rPr>
        <w:t>文件内容完全一致，方便打开且无病毒；电子版文件与纸质文件不一致时，以纸质文件正本为准。</w:t>
      </w:r>
    </w:p>
    <w:p>
      <w:pPr>
        <w:spacing w:after="0" w:line="560" w:lineRule="exact"/>
        <w:rPr>
          <w:rFonts w:hint="eastAsia" w:ascii="宋体" w:hAnsi="宋体" w:eastAsia="宋体" w:cs="宋体"/>
          <w:color w:val="auto"/>
          <w:sz w:val="24"/>
          <w:szCs w:val="24"/>
          <w:lang w:val="en-US" w:eastAsia="zh-CN"/>
        </w:rPr>
      </w:pPr>
      <w:r>
        <w:rPr>
          <w:rFonts w:hint="eastAsia" w:ascii="宋体" w:hAnsi="宋体" w:cs="宋体"/>
          <w:color w:val="auto"/>
          <w:sz w:val="24"/>
          <w:szCs w:val="24"/>
        </w:rPr>
        <w:t xml:space="preserve">22.2 </w:t>
      </w:r>
      <w:r>
        <w:rPr>
          <w:rFonts w:hint="eastAsia" w:ascii="宋体" w:hAnsi="宋体" w:cs="宋体"/>
          <w:color w:val="auto"/>
          <w:sz w:val="24"/>
          <w:szCs w:val="24"/>
          <w:lang w:eastAsia="zh-CN"/>
        </w:rPr>
        <w:t>供应商</w:t>
      </w:r>
      <w:r>
        <w:rPr>
          <w:rFonts w:hint="eastAsia" w:ascii="宋体" w:hAnsi="宋体" w:cs="宋体"/>
          <w:color w:val="auto"/>
          <w:sz w:val="24"/>
          <w:szCs w:val="24"/>
        </w:rPr>
        <w:t>应将投标文件正本、副本分别装订成册，并分别用信封密封完好，注明正本、副本字样。</w:t>
      </w:r>
      <w:r>
        <w:rPr>
          <w:rFonts w:hint="eastAsia" w:ascii="宋体" w:hAnsi="宋体" w:eastAsia="宋体" w:cs="宋体"/>
          <w:color w:val="auto"/>
          <w:sz w:val="24"/>
          <w:szCs w:val="24"/>
          <w:lang w:val="en-US" w:eastAsia="zh-CN"/>
        </w:rPr>
        <w:t>电子文件（注明供应商名称）夹于投标文件的正本中。</w:t>
      </w:r>
    </w:p>
    <w:p>
      <w:pPr>
        <w:spacing w:after="0" w:line="560" w:lineRule="exac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包封方法参考图：</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240"/>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72" w:type="dxa"/>
            <w:noWrap w:val="0"/>
            <w:vAlign w:val="center"/>
          </w:tcPr>
          <w:p>
            <w:pPr>
              <w:spacing w:line="360" w:lineRule="auto"/>
              <w:jc w:val="center"/>
              <w:rPr>
                <w:rFonts w:hint="eastAsia"/>
                <w:color w:val="auto"/>
                <w:sz w:val="24"/>
                <w:szCs w:val="24"/>
              </w:rPr>
            </w:pPr>
            <w:r>
              <w:rPr>
                <w:rFonts w:hint="eastAsia"/>
                <w:color w:val="auto"/>
                <w:sz w:val="24"/>
                <w:szCs w:val="24"/>
                <w:lang w:val="en-US" w:eastAsia="zh-CN"/>
              </w:rPr>
              <w:t>投标文件</w:t>
            </w:r>
            <w:r>
              <w:rPr>
                <w:color w:val="auto"/>
                <w:sz w:val="24"/>
                <w:szCs w:val="24"/>
              </w:rPr>
              <w:t>（</w:t>
            </w:r>
            <w:r>
              <w:rPr>
                <w:rFonts w:hint="eastAsia"/>
                <w:color w:val="auto"/>
                <w:sz w:val="24"/>
                <w:szCs w:val="24"/>
                <w:lang w:val="en-US" w:eastAsia="zh-CN"/>
              </w:rPr>
              <w:t>正本</w:t>
            </w:r>
            <w:r>
              <w:rPr>
                <w:color w:val="auto"/>
                <w:sz w:val="24"/>
                <w:szCs w:val="24"/>
              </w:rPr>
              <w:t>）</w:t>
            </w:r>
          </w:p>
          <w:p>
            <w:pPr>
              <w:spacing w:line="360" w:lineRule="auto"/>
              <w:jc w:val="center"/>
              <w:rPr>
                <w:color w:val="auto"/>
                <w:sz w:val="24"/>
                <w:szCs w:val="24"/>
              </w:rPr>
            </w:pPr>
            <w:r>
              <w:rPr>
                <w:rFonts w:hint="eastAsia"/>
                <w:color w:val="auto"/>
                <w:sz w:val="24"/>
                <w:szCs w:val="24"/>
              </w:rPr>
              <w:t>电子</w:t>
            </w:r>
            <w:r>
              <w:rPr>
                <w:rFonts w:hint="eastAsia"/>
                <w:color w:val="auto"/>
                <w:sz w:val="24"/>
                <w:szCs w:val="24"/>
                <w:lang w:val="en-US" w:eastAsia="zh-CN"/>
              </w:rPr>
              <w:t>版</w:t>
            </w:r>
            <w:r>
              <w:rPr>
                <w:rFonts w:hint="eastAsia"/>
                <w:color w:val="auto"/>
                <w:sz w:val="24"/>
                <w:szCs w:val="24"/>
              </w:rPr>
              <w:t>文件</w:t>
            </w:r>
          </w:p>
        </w:tc>
        <w:tc>
          <w:tcPr>
            <w:tcW w:w="240" w:type="dxa"/>
            <w:tcBorders>
              <w:top w:val="nil"/>
              <w:bottom w:val="nil"/>
            </w:tcBorders>
            <w:noWrap w:val="0"/>
            <w:vAlign w:val="center"/>
          </w:tcPr>
          <w:p>
            <w:pPr>
              <w:spacing w:before="168" w:after="168" w:line="360" w:lineRule="auto"/>
              <w:jc w:val="center"/>
              <w:rPr>
                <w:rFonts w:hint="default" w:eastAsia="宋体"/>
                <w:color w:val="auto"/>
                <w:sz w:val="24"/>
                <w:szCs w:val="24"/>
                <w:lang w:val="en-US" w:eastAsia="zh-CN"/>
              </w:rPr>
            </w:pPr>
          </w:p>
        </w:tc>
        <w:tc>
          <w:tcPr>
            <w:tcW w:w="3051" w:type="dxa"/>
            <w:noWrap w:val="0"/>
            <w:vAlign w:val="center"/>
          </w:tcPr>
          <w:p>
            <w:pPr>
              <w:pStyle w:val="43"/>
              <w:spacing w:line="360" w:lineRule="auto"/>
              <w:ind w:left="0" w:leftChars="0" w:firstLine="0" w:firstLineChars="0"/>
              <w:jc w:val="center"/>
              <w:rPr>
                <w:rFonts w:hint="default" w:eastAsia="宋体"/>
                <w:color w:val="auto"/>
                <w:sz w:val="24"/>
                <w:szCs w:val="24"/>
                <w:lang w:val="en-US" w:eastAsia="zh-CN"/>
              </w:rPr>
            </w:pPr>
            <w:r>
              <w:rPr>
                <w:rFonts w:hint="eastAsia"/>
                <w:color w:val="auto"/>
                <w:sz w:val="24"/>
                <w:szCs w:val="24"/>
                <w:lang w:val="en-US" w:eastAsia="zh-CN"/>
              </w:rPr>
              <w:t>投标文件</w:t>
            </w:r>
            <w:r>
              <w:rPr>
                <w:color w:val="auto"/>
                <w:sz w:val="24"/>
                <w:szCs w:val="24"/>
              </w:rPr>
              <w:t>（</w:t>
            </w:r>
            <w:r>
              <w:rPr>
                <w:rFonts w:hint="eastAsia"/>
                <w:color w:val="auto"/>
                <w:sz w:val="24"/>
                <w:szCs w:val="24"/>
                <w:lang w:val="en-US" w:eastAsia="zh-CN"/>
              </w:rPr>
              <w:t>四个副本</w:t>
            </w:r>
            <w:r>
              <w:rPr>
                <w:color w:val="auto"/>
                <w:sz w:val="24"/>
                <w:szCs w:val="24"/>
              </w:rPr>
              <w:t>）</w:t>
            </w:r>
          </w:p>
        </w:tc>
      </w:tr>
    </w:tbl>
    <w:p>
      <w:pPr>
        <w:spacing w:after="0" w:line="560" w:lineRule="exact"/>
        <w:rPr>
          <w:rFonts w:ascii="宋体" w:hAnsi="宋体" w:cs="宋体"/>
          <w:color w:val="auto"/>
          <w:sz w:val="24"/>
          <w:szCs w:val="24"/>
        </w:rPr>
      </w:pPr>
      <w:r>
        <w:rPr>
          <w:rFonts w:hint="eastAsia" w:ascii="宋体" w:hAnsi="宋体" w:cs="宋体"/>
          <w:color w:val="auto"/>
          <w:sz w:val="24"/>
          <w:szCs w:val="24"/>
        </w:rPr>
        <w:t xml:space="preserve">22.3 </w:t>
      </w:r>
      <w:r>
        <w:rPr>
          <w:rFonts w:hint="eastAsia" w:ascii="宋体" w:hAnsi="宋体" w:cs="宋体"/>
          <w:color w:val="auto"/>
          <w:sz w:val="24"/>
          <w:szCs w:val="24"/>
          <w:lang w:eastAsia="zh-CN"/>
        </w:rPr>
        <w:t>供应商</w:t>
      </w:r>
      <w:r>
        <w:rPr>
          <w:rFonts w:hint="eastAsia" w:ascii="宋体" w:hAnsi="宋体" w:cs="宋体"/>
          <w:color w:val="auto"/>
          <w:sz w:val="24"/>
          <w:szCs w:val="24"/>
        </w:rPr>
        <w:t>应在密封信封上注明投标项目名称、项目编号、</w:t>
      </w:r>
      <w:r>
        <w:rPr>
          <w:rFonts w:hint="eastAsia" w:ascii="宋体" w:hAnsi="宋体" w:cs="宋体"/>
          <w:color w:val="auto"/>
          <w:sz w:val="24"/>
          <w:szCs w:val="24"/>
          <w:lang w:eastAsia="zh-CN"/>
        </w:rPr>
        <w:t>供应商</w:t>
      </w:r>
      <w:r>
        <w:rPr>
          <w:rFonts w:hint="eastAsia" w:ascii="宋体" w:hAnsi="宋体" w:cs="宋体"/>
          <w:color w:val="auto"/>
          <w:sz w:val="24"/>
          <w:szCs w:val="24"/>
        </w:rPr>
        <w:t>名称、投标代表人姓名及联系方式，并在每一密封信封上注明“于正式开标之前（指投标邀请函中规定投标截至时间的结束时间）不准启封”的字样，同时在密封处加盖公章及法人章。</w:t>
      </w:r>
    </w:p>
    <w:p>
      <w:pPr>
        <w:spacing w:after="0" w:line="560" w:lineRule="exact"/>
        <w:jc w:val="center"/>
        <w:rPr>
          <w:rFonts w:ascii="宋体" w:hAnsi="宋体" w:cs="宋体"/>
          <w:color w:val="auto"/>
          <w:sz w:val="24"/>
          <w:szCs w:val="24"/>
        </w:rPr>
      </w:pPr>
      <w:r>
        <w:rPr>
          <w:rFonts w:hint="eastAsia" w:ascii="宋体" w:hAnsi="宋体" w:cs="宋体"/>
          <w:color w:val="auto"/>
          <w:sz w:val="24"/>
          <w:szCs w:val="24"/>
        </w:rPr>
        <w:t>D开标和评标</w:t>
      </w:r>
    </w:p>
    <w:p>
      <w:pPr>
        <w:spacing w:after="0" w:line="560" w:lineRule="exact"/>
        <w:rPr>
          <w:rFonts w:ascii="宋体" w:hAnsi="宋体" w:cs="宋体"/>
          <w:color w:val="auto"/>
          <w:sz w:val="24"/>
          <w:szCs w:val="24"/>
        </w:rPr>
      </w:pPr>
      <w:r>
        <w:rPr>
          <w:rFonts w:hint="eastAsia" w:ascii="宋体" w:hAnsi="宋体" w:cs="宋体"/>
          <w:color w:val="auto"/>
          <w:sz w:val="24"/>
          <w:szCs w:val="24"/>
        </w:rPr>
        <w:t>23. 开标</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ascii="宋体" w:hAnsi="宋体" w:cs="宋体"/>
          <w:color w:val="auto"/>
          <w:sz w:val="24"/>
          <w:szCs w:val="24"/>
        </w:rPr>
      </w:pPr>
      <w:r>
        <w:rPr>
          <w:rFonts w:hint="eastAsia" w:ascii="宋体" w:hAnsi="宋体" w:cs="宋体"/>
          <w:color w:val="auto"/>
          <w:sz w:val="24"/>
          <w:szCs w:val="24"/>
        </w:rPr>
        <w:t>23.1开标由采购人或者采购代理机构主持，邀请</w:t>
      </w:r>
      <w:r>
        <w:rPr>
          <w:rFonts w:hint="eastAsia" w:ascii="宋体" w:hAnsi="宋体" w:cs="宋体"/>
          <w:color w:val="auto"/>
          <w:sz w:val="24"/>
          <w:szCs w:val="24"/>
          <w:lang w:eastAsia="zh-CN"/>
        </w:rPr>
        <w:t>供应商</w:t>
      </w:r>
      <w:r>
        <w:rPr>
          <w:rFonts w:hint="eastAsia" w:ascii="宋体" w:hAnsi="宋体" w:cs="宋体"/>
          <w:color w:val="auto"/>
          <w:sz w:val="24"/>
          <w:szCs w:val="24"/>
        </w:rPr>
        <w:t>参加。</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ascii="宋体" w:hAnsi="宋体" w:cs="宋体"/>
          <w:color w:val="auto"/>
          <w:sz w:val="24"/>
          <w:szCs w:val="24"/>
        </w:rPr>
      </w:pPr>
      <w:r>
        <w:rPr>
          <w:rFonts w:hint="eastAsia" w:ascii="宋体" w:hAnsi="宋体" w:cs="宋体"/>
          <w:color w:val="auto"/>
          <w:sz w:val="24"/>
          <w:szCs w:val="24"/>
        </w:rPr>
        <w:t>23.2开标时，由</w:t>
      </w:r>
      <w:r>
        <w:rPr>
          <w:rFonts w:hint="eastAsia" w:ascii="宋体" w:hAnsi="宋体" w:cs="宋体"/>
          <w:color w:val="auto"/>
          <w:sz w:val="24"/>
          <w:szCs w:val="24"/>
          <w:lang w:eastAsia="zh-CN"/>
        </w:rPr>
        <w:t>供应商</w:t>
      </w:r>
      <w:r>
        <w:rPr>
          <w:rFonts w:hint="eastAsia" w:ascii="宋体" w:hAnsi="宋体" w:cs="宋体"/>
          <w:color w:val="auto"/>
          <w:sz w:val="24"/>
          <w:szCs w:val="24"/>
        </w:rPr>
        <w:t>或者其推选的代表检查投标文件的密封情况；经确认无误后，由采购人或者采购代理机构工作人员当众拆封，宣布</w:t>
      </w:r>
      <w:r>
        <w:rPr>
          <w:rFonts w:hint="eastAsia" w:ascii="宋体" w:hAnsi="宋体" w:cs="宋体"/>
          <w:color w:val="auto"/>
          <w:sz w:val="24"/>
          <w:szCs w:val="24"/>
          <w:lang w:eastAsia="zh-CN"/>
        </w:rPr>
        <w:t>供应商</w:t>
      </w:r>
      <w:r>
        <w:rPr>
          <w:rFonts w:hint="eastAsia" w:ascii="宋体" w:hAnsi="宋体" w:cs="宋体"/>
          <w:color w:val="auto"/>
          <w:sz w:val="24"/>
          <w:szCs w:val="24"/>
        </w:rPr>
        <w:t>名称、投标价格和招标文件规定的需要宣布的其他内容。</w:t>
      </w:r>
      <w:r>
        <w:rPr>
          <w:rFonts w:hint="eastAsia" w:ascii="宋体" w:hAnsi="宋体" w:cs="宋体"/>
          <w:color w:val="auto"/>
          <w:sz w:val="24"/>
          <w:szCs w:val="24"/>
          <w:lang w:eastAsia="zh-CN"/>
        </w:rPr>
        <w:t>供应商</w:t>
      </w:r>
      <w:r>
        <w:rPr>
          <w:rFonts w:hint="eastAsia" w:ascii="宋体" w:hAnsi="宋体" w:cs="宋体"/>
          <w:color w:val="auto"/>
          <w:sz w:val="24"/>
          <w:szCs w:val="24"/>
        </w:rPr>
        <w:t>不足3家时，不开标。</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23.3 </w:t>
      </w:r>
      <w:r>
        <w:rPr>
          <w:rFonts w:hint="eastAsia" w:ascii="宋体" w:hAnsi="宋体" w:cs="宋体"/>
          <w:color w:val="auto"/>
          <w:sz w:val="24"/>
          <w:szCs w:val="24"/>
          <w:lang w:eastAsia="zh-CN"/>
        </w:rPr>
        <w:t>供应商</w:t>
      </w:r>
      <w:r>
        <w:rPr>
          <w:rFonts w:hint="eastAsia" w:ascii="宋体" w:hAnsi="宋体" w:cs="宋体"/>
          <w:color w:val="auto"/>
          <w:sz w:val="24"/>
          <w:szCs w:val="24"/>
        </w:rPr>
        <w:t>须由法定代表人或其授权的本单位正式员工作为投标代表人参加投标，随时准备对评委的询问予以解答。并于递交投标文件时提供由法定代表人签章授权书的原件，该投标代表人在授权书上应标明有效联系方式，该联系方式须保留至本项目评标或合同履行结束，未按时提供的视为无效投标。法定代表人或投标代表人参加开标仪式时，须携带身份证或其他与法定代表人或其代理人身份相符的有效证件原件，以备查验，未按时提供的视为无效投标。</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23.4 </w:t>
      </w:r>
      <w:r>
        <w:rPr>
          <w:rFonts w:hint="eastAsia" w:ascii="宋体" w:hAnsi="宋体" w:cs="宋体"/>
          <w:color w:val="auto"/>
          <w:sz w:val="24"/>
          <w:szCs w:val="24"/>
          <w:lang w:eastAsia="zh-CN"/>
        </w:rPr>
        <w:t>供应商</w:t>
      </w:r>
      <w:r>
        <w:rPr>
          <w:rFonts w:hint="eastAsia" w:ascii="宋体" w:hAnsi="宋体" w:cs="宋体"/>
          <w:color w:val="auto"/>
          <w:sz w:val="24"/>
          <w:szCs w:val="24"/>
        </w:rPr>
        <w:t>未参加开标的，视同认可开标结果。</w:t>
      </w:r>
    </w:p>
    <w:p>
      <w:pPr>
        <w:spacing w:after="0" w:line="560" w:lineRule="exact"/>
        <w:rPr>
          <w:rFonts w:ascii="宋体" w:hAnsi="宋体" w:cs="宋体"/>
          <w:color w:val="auto"/>
          <w:sz w:val="24"/>
          <w:szCs w:val="24"/>
        </w:rPr>
      </w:pPr>
      <w:r>
        <w:rPr>
          <w:rFonts w:hint="eastAsia" w:ascii="宋体" w:hAnsi="宋体" w:cs="宋体"/>
          <w:color w:val="auto"/>
          <w:sz w:val="24"/>
          <w:szCs w:val="24"/>
        </w:rPr>
        <w:t>23.5 开标后，投标代表人应保持电话畅通，随时准备接受评委的询标。</w:t>
      </w:r>
    </w:p>
    <w:p>
      <w:pPr>
        <w:spacing w:after="0" w:line="560" w:lineRule="exact"/>
        <w:rPr>
          <w:rFonts w:ascii="宋体" w:hAnsi="宋体" w:cs="宋体"/>
          <w:color w:val="auto"/>
          <w:sz w:val="24"/>
          <w:szCs w:val="24"/>
        </w:rPr>
      </w:pPr>
      <w:r>
        <w:rPr>
          <w:rFonts w:hint="eastAsia" w:ascii="宋体" w:hAnsi="宋体" w:cs="宋体"/>
          <w:color w:val="auto"/>
          <w:sz w:val="24"/>
          <w:szCs w:val="24"/>
        </w:rPr>
        <w:t>23.6 开标后，采购人或采购代理机构应当依法对</w:t>
      </w:r>
      <w:r>
        <w:rPr>
          <w:rFonts w:hint="eastAsia" w:ascii="宋体" w:hAnsi="宋体" w:cs="宋体"/>
          <w:color w:val="auto"/>
          <w:sz w:val="24"/>
          <w:szCs w:val="24"/>
          <w:lang w:eastAsia="zh-CN"/>
        </w:rPr>
        <w:t>供应商</w:t>
      </w:r>
      <w:r>
        <w:rPr>
          <w:rFonts w:hint="eastAsia" w:ascii="宋体" w:hAnsi="宋体" w:cs="宋体"/>
          <w:color w:val="auto"/>
          <w:sz w:val="24"/>
          <w:szCs w:val="24"/>
        </w:rPr>
        <w:t>的资格进行审查。资格审查合格的</w:t>
      </w:r>
      <w:r>
        <w:rPr>
          <w:rFonts w:hint="eastAsia" w:ascii="宋体" w:hAnsi="宋体" w:cs="宋体"/>
          <w:color w:val="auto"/>
          <w:sz w:val="24"/>
          <w:szCs w:val="24"/>
          <w:lang w:eastAsia="zh-CN"/>
        </w:rPr>
        <w:t>供应商</w:t>
      </w:r>
      <w:r>
        <w:rPr>
          <w:rFonts w:hint="eastAsia" w:ascii="宋体" w:hAnsi="宋体" w:cs="宋体"/>
          <w:color w:val="auto"/>
          <w:sz w:val="24"/>
          <w:szCs w:val="24"/>
        </w:rPr>
        <w:t>不足3家的，不得评标。</w:t>
      </w:r>
    </w:p>
    <w:p>
      <w:pPr>
        <w:spacing w:after="0" w:line="560" w:lineRule="exact"/>
        <w:rPr>
          <w:rFonts w:ascii="宋体" w:hAnsi="宋体" w:cs="宋体"/>
          <w:color w:val="auto"/>
          <w:sz w:val="24"/>
          <w:szCs w:val="24"/>
        </w:rPr>
      </w:pPr>
      <w:r>
        <w:rPr>
          <w:rFonts w:hint="eastAsia" w:ascii="宋体" w:hAnsi="宋体" w:cs="宋体"/>
          <w:color w:val="auto"/>
          <w:sz w:val="24"/>
          <w:szCs w:val="24"/>
        </w:rPr>
        <w:t>24. 评标委员会</w:t>
      </w:r>
    </w:p>
    <w:p>
      <w:pPr>
        <w:spacing w:after="0" w:line="560" w:lineRule="exact"/>
        <w:rPr>
          <w:rFonts w:ascii="宋体" w:hAnsi="宋体" w:cs="宋体"/>
          <w:color w:val="auto"/>
          <w:sz w:val="24"/>
          <w:szCs w:val="24"/>
        </w:rPr>
      </w:pPr>
      <w:r>
        <w:rPr>
          <w:rFonts w:hint="eastAsia" w:ascii="宋体" w:hAnsi="宋体" w:cs="宋体"/>
          <w:color w:val="auto"/>
          <w:sz w:val="24"/>
          <w:szCs w:val="24"/>
        </w:rPr>
        <w:t>24.1 评标委员会成员由采购人代表和评审专家组成，成员人数应当为5人以上单数，其中评审专家不得少于成员总数的三分之二。</w:t>
      </w:r>
    </w:p>
    <w:p>
      <w:pPr>
        <w:spacing w:after="0" w:line="560" w:lineRule="exact"/>
        <w:rPr>
          <w:rFonts w:ascii="宋体" w:hAnsi="宋体" w:cs="宋体"/>
          <w:color w:val="auto"/>
          <w:sz w:val="24"/>
          <w:szCs w:val="24"/>
        </w:rPr>
      </w:pPr>
      <w:r>
        <w:rPr>
          <w:rFonts w:hint="eastAsia" w:ascii="宋体" w:hAnsi="宋体" w:cs="宋体"/>
          <w:color w:val="auto"/>
          <w:sz w:val="24"/>
          <w:szCs w:val="24"/>
        </w:rPr>
        <w:t>24.2 评标委员会负责审查投标文件是否符合招标文件的要求，并进行审查、询标、评估和比较。评标委员会认为必要时，可向</w:t>
      </w:r>
      <w:r>
        <w:rPr>
          <w:rFonts w:hint="eastAsia" w:ascii="宋体" w:hAnsi="宋体" w:cs="宋体"/>
          <w:color w:val="auto"/>
          <w:sz w:val="24"/>
          <w:szCs w:val="24"/>
          <w:lang w:eastAsia="zh-CN"/>
        </w:rPr>
        <w:t>供应商</w:t>
      </w:r>
      <w:r>
        <w:rPr>
          <w:rFonts w:hint="eastAsia" w:ascii="宋体" w:hAnsi="宋体" w:cs="宋体"/>
          <w:color w:val="auto"/>
          <w:sz w:val="24"/>
          <w:szCs w:val="24"/>
        </w:rPr>
        <w:t>进行询标。</w:t>
      </w:r>
    </w:p>
    <w:p>
      <w:pPr>
        <w:spacing w:after="0" w:line="560" w:lineRule="exact"/>
        <w:rPr>
          <w:rFonts w:ascii="宋体" w:hAnsi="宋体" w:cs="宋体"/>
          <w:color w:val="auto"/>
          <w:sz w:val="24"/>
          <w:szCs w:val="24"/>
        </w:rPr>
      </w:pPr>
      <w:r>
        <w:rPr>
          <w:rFonts w:hint="eastAsia" w:ascii="宋体" w:hAnsi="宋体" w:cs="宋体"/>
          <w:color w:val="auto"/>
          <w:sz w:val="24"/>
          <w:szCs w:val="24"/>
        </w:rPr>
        <w:t>24.3 出现符合专业条件的供应商或者对招标文件作实质性响应的供应商不足三家，或</w:t>
      </w:r>
      <w:r>
        <w:rPr>
          <w:rFonts w:hint="eastAsia" w:ascii="宋体" w:hAnsi="宋体" w:cs="宋体"/>
          <w:color w:val="auto"/>
          <w:sz w:val="24"/>
          <w:szCs w:val="24"/>
          <w:lang w:eastAsia="zh-CN"/>
        </w:rPr>
        <w:t>供应商</w:t>
      </w:r>
      <w:r>
        <w:rPr>
          <w:rFonts w:hint="eastAsia" w:ascii="宋体" w:hAnsi="宋体" w:cs="宋体"/>
          <w:color w:val="auto"/>
          <w:sz w:val="24"/>
          <w:szCs w:val="24"/>
        </w:rPr>
        <w:t>的报价均超过了采购预算，采购人不能支付的情况时，或出现影响采购公正的违法、违规行为时，评标委员会有权宣布废标。</w:t>
      </w:r>
    </w:p>
    <w:p>
      <w:pPr>
        <w:spacing w:after="0" w:line="560" w:lineRule="exact"/>
        <w:rPr>
          <w:rFonts w:ascii="宋体" w:hAnsi="宋体" w:cs="宋体"/>
          <w:color w:val="auto"/>
          <w:sz w:val="24"/>
          <w:szCs w:val="24"/>
        </w:rPr>
      </w:pPr>
      <w:r>
        <w:rPr>
          <w:rFonts w:hint="eastAsia" w:ascii="宋体" w:hAnsi="宋体" w:cs="宋体"/>
          <w:color w:val="auto"/>
          <w:sz w:val="24"/>
          <w:szCs w:val="24"/>
        </w:rPr>
        <w:t>24.4 评标委员会负责完成全部评标工作，向采购人提出经评标委员会签字的书面评标报告。</w:t>
      </w:r>
    </w:p>
    <w:p>
      <w:pPr>
        <w:spacing w:after="0" w:line="560" w:lineRule="exact"/>
        <w:rPr>
          <w:rFonts w:ascii="宋体" w:hAnsi="宋体" w:cs="宋体"/>
          <w:color w:val="auto"/>
          <w:sz w:val="24"/>
          <w:szCs w:val="24"/>
        </w:rPr>
      </w:pPr>
      <w:r>
        <w:rPr>
          <w:rFonts w:hint="eastAsia" w:ascii="宋体" w:hAnsi="宋体" w:cs="宋体"/>
          <w:color w:val="auto"/>
          <w:sz w:val="24"/>
          <w:szCs w:val="24"/>
        </w:rPr>
        <w:t>25. 对投标文件的审查和响应性的确定</w:t>
      </w:r>
    </w:p>
    <w:p>
      <w:pPr>
        <w:spacing w:after="0" w:line="560" w:lineRule="exact"/>
        <w:rPr>
          <w:rFonts w:ascii="宋体" w:hAnsi="宋体" w:cs="宋体"/>
          <w:color w:val="auto"/>
          <w:sz w:val="24"/>
          <w:szCs w:val="24"/>
        </w:rPr>
      </w:pPr>
      <w:r>
        <w:rPr>
          <w:rFonts w:hint="eastAsia" w:ascii="宋体" w:hAnsi="宋体" w:cs="宋体"/>
          <w:color w:val="auto"/>
          <w:sz w:val="24"/>
          <w:szCs w:val="24"/>
        </w:rPr>
        <w:t>25.1 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pPr>
        <w:spacing w:after="0" w:line="560" w:lineRule="exact"/>
        <w:rPr>
          <w:rFonts w:ascii="宋体" w:hAnsi="宋体" w:cs="宋体"/>
          <w:color w:val="auto"/>
          <w:sz w:val="24"/>
          <w:szCs w:val="24"/>
        </w:rPr>
      </w:pPr>
      <w:r>
        <w:rPr>
          <w:rFonts w:hint="eastAsia" w:ascii="宋体" w:hAnsi="宋体" w:cs="宋体"/>
          <w:color w:val="auto"/>
          <w:sz w:val="24"/>
          <w:szCs w:val="24"/>
        </w:rPr>
        <w:t>25.2 投标截止时间后，除评标委员会要求提供外，不接受</w:t>
      </w:r>
      <w:r>
        <w:rPr>
          <w:rFonts w:hint="eastAsia" w:ascii="宋体" w:hAnsi="宋体" w:cs="宋体"/>
          <w:color w:val="auto"/>
          <w:sz w:val="24"/>
          <w:szCs w:val="24"/>
          <w:lang w:eastAsia="zh-CN"/>
        </w:rPr>
        <w:t>供应商</w:t>
      </w:r>
      <w:r>
        <w:rPr>
          <w:rFonts w:hint="eastAsia" w:ascii="宋体" w:hAnsi="宋体" w:cs="宋体"/>
          <w:color w:val="auto"/>
          <w:sz w:val="24"/>
          <w:szCs w:val="24"/>
        </w:rPr>
        <w:t>及与</w:t>
      </w:r>
      <w:r>
        <w:rPr>
          <w:rFonts w:hint="eastAsia" w:ascii="宋体" w:hAnsi="宋体" w:cs="宋体"/>
          <w:color w:val="auto"/>
          <w:sz w:val="24"/>
          <w:szCs w:val="24"/>
          <w:lang w:eastAsia="zh-CN"/>
        </w:rPr>
        <w:t>供应商</w:t>
      </w:r>
      <w:r>
        <w:rPr>
          <w:rFonts w:hint="eastAsia" w:ascii="宋体" w:hAnsi="宋体" w:cs="宋体"/>
          <w:color w:val="auto"/>
          <w:sz w:val="24"/>
          <w:szCs w:val="24"/>
        </w:rPr>
        <w:t>有关的任何一方递交的材料。</w:t>
      </w:r>
    </w:p>
    <w:p>
      <w:pPr>
        <w:spacing w:after="0" w:line="560" w:lineRule="exact"/>
        <w:rPr>
          <w:rFonts w:ascii="宋体" w:hAnsi="宋体" w:cs="宋体"/>
          <w:color w:val="auto"/>
          <w:sz w:val="24"/>
          <w:szCs w:val="24"/>
        </w:rPr>
      </w:pPr>
      <w:r>
        <w:rPr>
          <w:rFonts w:hint="eastAsia" w:ascii="宋体" w:hAnsi="宋体" w:cs="宋体"/>
          <w:color w:val="auto"/>
          <w:sz w:val="24"/>
          <w:szCs w:val="24"/>
        </w:rPr>
        <w:t>25.3实质上没有响应招标文件要求的投标文件，将被拒绝。</w:t>
      </w:r>
      <w:r>
        <w:rPr>
          <w:rFonts w:hint="eastAsia" w:ascii="宋体" w:hAnsi="宋体" w:cs="宋体"/>
          <w:color w:val="auto"/>
          <w:sz w:val="24"/>
          <w:szCs w:val="24"/>
          <w:lang w:eastAsia="zh-CN"/>
        </w:rPr>
        <w:t>供应商</w:t>
      </w:r>
      <w:r>
        <w:rPr>
          <w:rFonts w:hint="eastAsia" w:ascii="宋体" w:hAnsi="宋体" w:cs="宋体"/>
          <w:color w:val="auto"/>
          <w:sz w:val="24"/>
          <w:szCs w:val="24"/>
        </w:rPr>
        <w:t>不得通过修改或撤回不符合要求的内容而使其投标成为响应性的投标。如出现下列情况之一的，其投标将被拒绝或中标无效：</w:t>
      </w:r>
    </w:p>
    <w:p>
      <w:pPr>
        <w:spacing w:after="0" w:line="560" w:lineRule="exact"/>
        <w:rPr>
          <w:rFonts w:ascii="宋体" w:hAnsi="宋体" w:cs="宋体"/>
          <w:color w:val="auto"/>
          <w:sz w:val="24"/>
          <w:szCs w:val="24"/>
        </w:rPr>
      </w:pPr>
      <w:r>
        <w:rPr>
          <w:rFonts w:hint="eastAsia" w:ascii="宋体" w:hAnsi="宋体" w:cs="宋体"/>
          <w:color w:val="auto"/>
          <w:sz w:val="24"/>
          <w:szCs w:val="24"/>
        </w:rPr>
        <w:t>（1）若招标文件第二部分要求提供投标保证金的，</w:t>
      </w:r>
      <w:r>
        <w:rPr>
          <w:rFonts w:hint="eastAsia" w:ascii="宋体" w:hAnsi="宋体" w:cs="宋体"/>
          <w:color w:val="auto"/>
          <w:sz w:val="24"/>
          <w:szCs w:val="24"/>
          <w:lang w:eastAsia="zh-CN"/>
        </w:rPr>
        <w:t>供应商</w:t>
      </w:r>
      <w:r>
        <w:rPr>
          <w:rFonts w:hint="eastAsia" w:ascii="宋体" w:hAnsi="宋体" w:cs="宋体"/>
          <w:color w:val="auto"/>
          <w:sz w:val="24"/>
          <w:szCs w:val="24"/>
        </w:rPr>
        <w:t>未提供投标保证金或投标保证金金额不足或投标保函的有效期短于投标有效期的；</w:t>
      </w:r>
    </w:p>
    <w:p>
      <w:pPr>
        <w:spacing w:after="0" w:line="560" w:lineRule="exact"/>
        <w:rPr>
          <w:rFonts w:ascii="宋体" w:hAnsi="宋体" w:cs="宋体"/>
          <w:color w:val="auto"/>
          <w:sz w:val="24"/>
          <w:szCs w:val="24"/>
        </w:rPr>
      </w:pPr>
      <w:r>
        <w:rPr>
          <w:rFonts w:hint="eastAsia" w:ascii="宋体" w:hAnsi="宋体" w:cs="宋体"/>
          <w:color w:val="auto"/>
          <w:sz w:val="24"/>
          <w:szCs w:val="24"/>
        </w:rPr>
        <w:t>（2）投标文件未按招标文件的要求加盖公章的；</w:t>
      </w:r>
    </w:p>
    <w:p>
      <w:pPr>
        <w:spacing w:after="0" w:line="560" w:lineRule="exact"/>
        <w:rPr>
          <w:rFonts w:ascii="宋体" w:hAnsi="宋体" w:cs="宋体"/>
          <w:color w:val="auto"/>
          <w:sz w:val="24"/>
          <w:szCs w:val="24"/>
        </w:rPr>
      </w:pPr>
      <w:r>
        <w:rPr>
          <w:rFonts w:hint="eastAsia" w:ascii="宋体" w:hAnsi="宋体" w:cs="宋体"/>
          <w:color w:val="auto"/>
          <w:sz w:val="24"/>
          <w:szCs w:val="24"/>
        </w:rPr>
        <w:t>（3）投标有效期短于招标文件要求的；</w:t>
      </w:r>
    </w:p>
    <w:p>
      <w:pPr>
        <w:spacing w:after="0" w:line="560" w:lineRule="exact"/>
        <w:rPr>
          <w:rFonts w:ascii="宋体" w:hAnsi="宋体" w:cs="宋体"/>
          <w:color w:val="auto"/>
          <w:sz w:val="24"/>
          <w:szCs w:val="24"/>
        </w:rPr>
      </w:pPr>
      <w:r>
        <w:rPr>
          <w:rFonts w:hint="eastAsia" w:ascii="宋体" w:hAnsi="宋体" w:cs="宋体"/>
          <w:color w:val="auto"/>
          <w:sz w:val="24"/>
          <w:szCs w:val="24"/>
        </w:rPr>
        <w:t>（4）投标文件中提供虚假或失实资料</w:t>
      </w:r>
      <w:r>
        <w:rPr>
          <w:rFonts w:hint="eastAsia" w:ascii="宋体" w:hAnsi="宋体" w:cs="宋体"/>
          <w:color w:val="auto"/>
          <w:sz w:val="24"/>
          <w:szCs w:val="24"/>
          <w:lang w:val="en-US" w:eastAsia="zh-CN"/>
        </w:rPr>
        <w:t>谋取中标</w:t>
      </w:r>
      <w:r>
        <w:rPr>
          <w:rFonts w:hint="eastAsia" w:ascii="宋体" w:hAnsi="宋体" w:cs="宋体"/>
          <w:color w:val="auto"/>
          <w:sz w:val="24"/>
          <w:szCs w:val="24"/>
        </w:rPr>
        <w:t>的；</w:t>
      </w:r>
    </w:p>
    <w:p>
      <w:pPr>
        <w:spacing w:after="0"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供应商须保证提供材料真实有效，采购人保留进一步核实的权利，一经发现虚假伪造，取消中标资格。</w:t>
      </w:r>
    </w:p>
    <w:p>
      <w:pPr>
        <w:spacing w:after="0" w:line="560" w:lineRule="exact"/>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6</w:t>
      </w:r>
      <w:r>
        <w:rPr>
          <w:rFonts w:hint="eastAsia" w:ascii="宋体" w:hAnsi="宋体" w:cs="宋体"/>
          <w:color w:val="auto"/>
          <w:sz w:val="24"/>
          <w:szCs w:val="24"/>
        </w:rPr>
        <w:t>）不能满足招标文件中任何一条实质性要求或加注“★”号条款出现负偏离或投标内容不符合相关强制性规定的；</w:t>
      </w:r>
    </w:p>
    <w:p>
      <w:pPr>
        <w:spacing w:after="0" w:line="560" w:lineRule="exact"/>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7</w:t>
      </w:r>
      <w:r>
        <w:rPr>
          <w:rFonts w:hint="eastAsia" w:ascii="宋体" w:hAnsi="宋体" w:cs="宋体"/>
          <w:color w:val="auto"/>
          <w:sz w:val="24"/>
          <w:szCs w:val="24"/>
        </w:rPr>
        <w:t>）法定代表人授权书不符合招标文件要求的；</w:t>
      </w:r>
    </w:p>
    <w:p>
      <w:pPr>
        <w:spacing w:after="0" w:line="560" w:lineRule="exact"/>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8</w:t>
      </w:r>
      <w:r>
        <w:rPr>
          <w:rFonts w:hint="eastAsia" w:ascii="宋体" w:hAnsi="宋体" w:cs="宋体"/>
          <w:color w:val="auto"/>
          <w:sz w:val="24"/>
          <w:szCs w:val="24"/>
        </w:rPr>
        <w:t>）投标报价超出采购预算或最高限价；</w:t>
      </w:r>
    </w:p>
    <w:p>
      <w:pPr>
        <w:spacing w:after="0" w:line="560" w:lineRule="exact"/>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9</w:t>
      </w:r>
      <w:r>
        <w:rPr>
          <w:rFonts w:hint="eastAsia" w:ascii="宋体" w:hAnsi="宋体" w:cs="宋体"/>
          <w:color w:val="auto"/>
          <w:sz w:val="24"/>
          <w:szCs w:val="24"/>
        </w:rPr>
        <w:t>）经评标委员会认定报价低于成本的；</w:t>
      </w:r>
    </w:p>
    <w:p>
      <w:pPr>
        <w:spacing w:after="0" w:line="560" w:lineRule="exact"/>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10</w:t>
      </w:r>
      <w:r>
        <w:rPr>
          <w:rFonts w:hint="eastAsia" w:ascii="宋体" w:hAnsi="宋体" w:cs="宋体"/>
          <w:color w:val="auto"/>
          <w:sz w:val="24"/>
          <w:szCs w:val="24"/>
        </w:rPr>
        <w:t>）围标或陪标的；</w:t>
      </w:r>
    </w:p>
    <w:p>
      <w:pPr>
        <w:spacing w:after="0" w:line="560" w:lineRule="exact"/>
        <w:rPr>
          <w:rFonts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lang w:val="en-US" w:eastAsia="zh-CN"/>
        </w:rPr>
        <w:t>1</w:t>
      </w:r>
      <w:r>
        <w:rPr>
          <w:rFonts w:hint="eastAsia" w:ascii="宋体" w:hAnsi="宋体" w:cs="宋体"/>
          <w:color w:val="auto"/>
          <w:sz w:val="24"/>
          <w:szCs w:val="24"/>
        </w:rPr>
        <w:t>）扰乱评标现场秩序，无理取闹，恶意诽谤的；</w:t>
      </w:r>
    </w:p>
    <w:p>
      <w:pPr>
        <w:spacing w:after="0" w:line="560" w:lineRule="exact"/>
        <w:rPr>
          <w:rFonts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lang w:val="en-US" w:eastAsia="zh-CN"/>
        </w:rPr>
        <w:t>2</w:t>
      </w:r>
      <w:r>
        <w:rPr>
          <w:rFonts w:hint="eastAsia" w:ascii="宋体" w:hAnsi="宋体" w:cs="宋体"/>
          <w:color w:val="auto"/>
          <w:sz w:val="24"/>
          <w:szCs w:val="24"/>
        </w:rPr>
        <w:t>）单位负责人或法定代表人为同一人，或者存在控股、管理关系的不同供应商，参加同一包或者未划分包的同一项目投标的，相关投标均无效；</w:t>
      </w:r>
    </w:p>
    <w:p>
      <w:pPr>
        <w:spacing w:after="0" w:line="560" w:lineRule="exact"/>
        <w:rPr>
          <w:rFonts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lang w:val="en-US" w:eastAsia="zh-CN"/>
        </w:rPr>
        <w:t>3</w:t>
      </w:r>
      <w:r>
        <w:rPr>
          <w:rFonts w:hint="eastAsia" w:ascii="宋体" w:hAnsi="宋体" w:cs="宋体"/>
          <w:color w:val="auto"/>
          <w:sz w:val="24"/>
          <w:szCs w:val="24"/>
        </w:rPr>
        <w:t>）除《招标项目需求》中说明并允许外，投标的每一个货物、服务的单项报价以及采购项目的投标总价存在多个报价或选择性报价的；</w:t>
      </w:r>
    </w:p>
    <w:p>
      <w:pPr>
        <w:spacing w:after="0" w:line="560" w:lineRule="exact"/>
        <w:rPr>
          <w:rFonts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lang w:val="en-US" w:eastAsia="zh-CN"/>
        </w:rPr>
        <w:t>4</w:t>
      </w:r>
      <w:r>
        <w:rPr>
          <w:rFonts w:hint="eastAsia" w:ascii="宋体" w:hAnsi="宋体" w:cs="宋体"/>
          <w:color w:val="auto"/>
          <w:sz w:val="24"/>
          <w:szCs w:val="24"/>
        </w:rPr>
        <w:t>）除《招标项目需求》中说明并允许外，招标文件中要求的每一项产品（服务）不是唯一产品（服务）投标的或投标文件与招标文件要求的每一项产品（服务）的采购数量不一致的。</w:t>
      </w:r>
    </w:p>
    <w:p>
      <w:pPr>
        <w:spacing w:after="0" w:line="560" w:lineRule="exact"/>
        <w:rPr>
          <w:rFonts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lang w:val="en-US" w:eastAsia="zh-CN"/>
        </w:rPr>
        <w:t>5</w:t>
      </w:r>
      <w:r>
        <w:rPr>
          <w:rFonts w:hint="eastAsia" w:ascii="宋体" w:hAnsi="宋体" w:cs="宋体"/>
          <w:color w:val="auto"/>
          <w:sz w:val="24"/>
          <w:szCs w:val="24"/>
        </w:rPr>
        <w:t>）《政府采购货物和服务招标投标管理办法》（财政部令87号）第37、59、60条规定的无效投标情形。</w:t>
      </w:r>
    </w:p>
    <w:p>
      <w:pPr>
        <w:spacing w:after="0" w:line="560" w:lineRule="exact"/>
        <w:rPr>
          <w:rFonts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lang w:val="en-US" w:eastAsia="zh-CN"/>
        </w:rPr>
        <w:t>6</w:t>
      </w:r>
      <w:r>
        <w:rPr>
          <w:rFonts w:hint="eastAsia" w:ascii="宋体" w:hAnsi="宋体" w:cs="宋体"/>
          <w:color w:val="auto"/>
          <w:sz w:val="24"/>
          <w:szCs w:val="24"/>
        </w:rPr>
        <w:t>）其他法定投标无效的情形。</w:t>
      </w:r>
    </w:p>
    <w:p>
      <w:pPr>
        <w:spacing w:after="0" w:line="560" w:lineRule="exact"/>
        <w:rPr>
          <w:rFonts w:ascii="宋体" w:hAnsi="宋体" w:cs="宋体"/>
          <w:color w:val="auto"/>
          <w:sz w:val="24"/>
          <w:szCs w:val="24"/>
        </w:rPr>
      </w:pPr>
      <w:r>
        <w:rPr>
          <w:rFonts w:hint="eastAsia" w:ascii="宋体" w:hAnsi="宋体" w:cs="宋体"/>
          <w:color w:val="auto"/>
          <w:sz w:val="24"/>
          <w:szCs w:val="24"/>
        </w:rPr>
        <w:t>25.4 评标委员会对确定为实质上响应的投标进行审核，投标文件报价出现前后不一致的，修改错误的原则如下：</w:t>
      </w:r>
    </w:p>
    <w:p>
      <w:pPr>
        <w:spacing w:after="0" w:line="560" w:lineRule="exact"/>
        <w:rPr>
          <w:rFonts w:ascii="宋体" w:hAnsi="宋体" w:cs="宋体"/>
          <w:color w:val="auto"/>
          <w:sz w:val="24"/>
          <w:szCs w:val="24"/>
        </w:rPr>
      </w:pPr>
      <w:r>
        <w:rPr>
          <w:rFonts w:hint="eastAsia" w:ascii="宋体" w:hAnsi="宋体" w:cs="宋体"/>
          <w:color w:val="auto"/>
          <w:sz w:val="24"/>
          <w:szCs w:val="24"/>
        </w:rPr>
        <w:t>（1）投标文件中开标一览表（报价表）内容与投标文件中相应内容不一致的，以开标一览表（报价表）为准；</w:t>
      </w:r>
    </w:p>
    <w:p>
      <w:pPr>
        <w:spacing w:after="0" w:line="560" w:lineRule="exact"/>
        <w:rPr>
          <w:rFonts w:ascii="宋体" w:hAnsi="宋体" w:cs="宋体"/>
          <w:color w:val="auto"/>
          <w:sz w:val="24"/>
          <w:szCs w:val="24"/>
        </w:rPr>
      </w:pPr>
      <w:r>
        <w:rPr>
          <w:rFonts w:hint="eastAsia" w:ascii="宋体" w:hAnsi="宋体" w:cs="宋体"/>
          <w:color w:val="auto"/>
          <w:sz w:val="24"/>
          <w:szCs w:val="24"/>
        </w:rPr>
        <w:t>（2）大写金额和小写金额不一致的，以大写金额为准；</w:t>
      </w:r>
    </w:p>
    <w:p>
      <w:pPr>
        <w:spacing w:after="0" w:line="560" w:lineRule="exact"/>
        <w:rPr>
          <w:rFonts w:ascii="宋体" w:hAnsi="宋体" w:cs="宋体"/>
          <w:color w:val="auto"/>
          <w:sz w:val="24"/>
          <w:szCs w:val="24"/>
        </w:rPr>
      </w:pPr>
      <w:r>
        <w:rPr>
          <w:rFonts w:hint="eastAsia" w:ascii="宋体" w:hAnsi="宋体" w:cs="宋体"/>
          <w:color w:val="auto"/>
          <w:sz w:val="24"/>
          <w:szCs w:val="24"/>
        </w:rPr>
        <w:t>（3）单价金额小数点或者百分比有明显错位的，以开标一览表的总价为准，并修改单价；</w:t>
      </w:r>
    </w:p>
    <w:p>
      <w:pPr>
        <w:spacing w:after="0" w:line="560" w:lineRule="exact"/>
        <w:rPr>
          <w:rFonts w:ascii="宋体" w:hAnsi="宋体" w:cs="宋体"/>
          <w:color w:val="auto"/>
          <w:sz w:val="24"/>
          <w:szCs w:val="24"/>
        </w:rPr>
      </w:pPr>
      <w:r>
        <w:rPr>
          <w:rFonts w:hint="eastAsia" w:ascii="宋体" w:hAnsi="宋体" w:cs="宋体"/>
          <w:color w:val="auto"/>
          <w:sz w:val="24"/>
          <w:szCs w:val="24"/>
        </w:rPr>
        <w:t>（4）总价金额与按单价汇总金额不一致的，以单价金额计算结果为准。</w:t>
      </w:r>
    </w:p>
    <w:p>
      <w:pPr>
        <w:spacing w:after="0" w:line="560" w:lineRule="exact"/>
        <w:rPr>
          <w:rFonts w:ascii="宋体" w:hAnsi="宋体" w:cs="宋体"/>
          <w:color w:val="auto"/>
          <w:sz w:val="24"/>
          <w:szCs w:val="24"/>
        </w:rPr>
      </w:pPr>
      <w:r>
        <w:rPr>
          <w:rFonts w:hint="eastAsia" w:ascii="宋体" w:hAnsi="宋体" w:cs="宋体"/>
          <w:color w:val="auto"/>
          <w:sz w:val="24"/>
          <w:szCs w:val="24"/>
        </w:rPr>
        <w:t>（5）同时出现两种以上不一致的，按照前款规定的顺序修正。修正后的报价经</w:t>
      </w:r>
      <w:r>
        <w:rPr>
          <w:rFonts w:hint="eastAsia" w:ascii="宋体" w:hAnsi="宋体" w:cs="宋体"/>
          <w:color w:val="auto"/>
          <w:sz w:val="24"/>
          <w:szCs w:val="24"/>
          <w:lang w:eastAsia="zh-CN"/>
        </w:rPr>
        <w:t>供应商</w:t>
      </w:r>
      <w:r>
        <w:rPr>
          <w:rFonts w:hint="eastAsia" w:ascii="宋体" w:hAnsi="宋体" w:cs="宋体"/>
          <w:color w:val="auto"/>
          <w:sz w:val="24"/>
          <w:szCs w:val="24"/>
        </w:rPr>
        <w:t>确认后产生约束力，</w:t>
      </w:r>
      <w:r>
        <w:rPr>
          <w:rFonts w:hint="eastAsia" w:ascii="宋体" w:hAnsi="宋体" w:cs="宋体"/>
          <w:color w:val="auto"/>
          <w:sz w:val="24"/>
          <w:szCs w:val="24"/>
          <w:lang w:eastAsia="zh-CN"/>
        </w:rPr>
        <w:t>供应商</w:t>
      </w:r>
      <w:r>
        <w:rPr>
          <w:rFonts w:hint="eastAsia" w:ascii="宋体" w:hAnsi="宋体" w:cs="宋体"/>
          <w:color w:val="auto"/>
          <w:sz w:val="24"/>
          <w:szCs w:val="24"/>
        </w:rPr>
        <w:t>不确认的，其投标无效。</w:t>
      </w:r>
    </w:p>
    <w:p>
      <w:pPr>
        <w:spacing w:after="0" w:line="560" w:lineRule="exact"/>
        <w:rPr>
          <w:rFonts w:ascii="宋体" w:hAnsi="宋体" w:cs="宋体"/>
          <w:color w:val="auto"/>
          <w:sz w:val="24"/>
          <w:szCs w:val="24"/>
        </w:rPr>
      </w:pPr>
      <w:r>
        <w:rPr>
          <w:rFonts w:hint="eastAsia" w:ascii="宋体" w:hAnsi="宋体" w:cs="宋体"/>
          <w:color w:val="auto"/>
          <w:sz w:val="24"/>
          <w:szCs w:val="24"/>
        </w:rPr>
        <w:t>25.5 评标委员会将要求</w:t>
      </w:r>
      <w:r>
        <w:rPr>
          <w:rFonts w:hint="eastAsia" w:ascii="宋体" w:hAnsi="宋体" w:cs="宋体"/>
          <w:color w:val="auto"/>
          <w:sz w:val="24"/>
          <w:szCs w:val="24"/>
          <w:lang w:eastAsia="zh-CN"/>
        </w:rPr>
        <w:t>供应商</w:t>
      </w:r>
      <w:r>
        <w:rPr>
          <w:rFonts w:hint="eastAsia" w:ascii="宋体" w:hAnsi="宋体" w:cs="宋体"/>
          <w:color w:val="auto"/>
          <w:sz w:val="24"/>
          <w:szCs w:val="24"/>
        </w:rPr>
        <w:t>按上述修改错误的方法调整投标报价，</w:t>
      </w:r>
      <w:r>
        <w:rPr>
          <w:rFonts w:hint="eastAsia" w:ascii="宋体" w:hAnsi="宋体" w:cs="宋体"/>
          <w:color w:val="auto"/>
          <w:sz w:val="24"/>
          <w:szCs w:val="24"/>
          <w:lang w:eastAsia="zh-CN"/>
        </w:rPr>
        <w:t>供应商</w:t>
      </w:r>
      <w:r>
        <w:rPr>
          <w:rFonts w:hint="eastAsia" w:ascii="宋体" w:hAnsi="宋体" w:cs="宋体"/>
          <w:color w:val="auto"/>
          <w:sz w:val="24"/>
          <w:szCs w:val="24"/>
        </w:rPr>
        <w:t>同意后，调整后的报价对</w:t>
      </w:r>
      <w:r>
        <w:rPr>
          <w:rFonts w:hint="eastAsia" w:ascii="宋体" w:hAnsi="宋体" w:cs="宋体"/>
          <w:color w:val="auto"/>
          <w:sz w:val="24"/>
          <w:szCs w:val="24"/>
          <w:lang w:eastAsia="zh-CN"/>
        </w:rPr>
        <w:t>供应商</w:t>
      </w:r>
      <w:r>
        <w:rPr>
          <w:rFonts w:hint="eastAsia" w:ascii="宋体" w:hAnsi="宋体" w:cs="宋体"/>
          <w:color w:val="auto"/>
          <w:sz w:val="24"/>
          <w:szCs w:val="24"/>
        </w:rPr>
        <w:t>起约束作用。如果</w:t>
      </w:r>
      <w:r>
        <w:rPr>
          <w:rFonts w:hint="eastAsia" w:ascii="宋体" w:hAnsi="宋体" w:cs="宋体"/>
          <w:color w:val="auto"/>
          <w:sz w:val="24"/>
          <w:szCs w:val="24"/>
          <w:lang w:eastAsia="zh-CN"/>
        </w:rPr>
        <w:t>供应商</w:t>
      </w:r>
      <w:r>
        <w:rPr>
          <w:rFonts w:hint="eastAsia" w:ascii="宋体" w:hAnsi="宋体" w:cs="宋体"/>
          <w:color w:val="auto"/>
          <w:sz w:val="24"/>
          <w:szCs w:val="24"/>
        </w:rPr>
        <w:t>不接受修改后的报价，其投标将被拒绝。</w:t>
      </w:r>
    </w:p>
    <w:p>
      <w:pPr>
        <w:spacing w:after="0" w:line="560" w:lineRule="exact"/>
        <w:rPr>
          <w:rFonts w:ascii="宋体" w:hAnsi="宋体" w:cs="宋体"/>
          <w:color w:val="auto"/>
          <w:sz w:val="24"/>
          <w:szCs w:val="24"/>
        </w:rPr>
      </w:pPr>
      <w:r>
        <w:rPr>
          <w:rFonts w:hint="eastAsia" w:ascii="宋体" w:hAnsi="宋体" w:cs="宋体"/>
          <w:color w:val="auto"/>
          <w:sz w:val="24"/>
          <w:szCs w:val="24"/>
        </w:rPr>
        <w:t>25.6 评标委员会对确定为实质上响应的投标进行政策功能评价，如涉及以下内容，具体标准为：</w:t>
      </w:r>
    </w:p>
    <w:p>
      <w:pPr>
        <w:pStyle w:val="44"/>
        <w:keepNext w:val="0"/>
        <w:keepLines w:val="0"/>
        <w:pageBreakBefore w:val="0"/>
        <w:kinsoku/>
        <w:wordWrap/>
        <w:overflowPunct/>
        <w:topLinePunct w:val="0"/>
        <w:bidi w:val="0"/>
        <w:spacing w:after="0" w:line="360" w:lineRule="auto"/>
        <w:ind w:firstLine="456" w:firstLineChars="200"/>
        <w:jc w:val="both"/>
        <w:textAlignment w:val="auto"/>
        <w:rPr>
          <w:rFonts w:hint="eastAsia" w:ascii="宋体" w:hAnsi="宋体" w:eastAsia="宋体" w:cs="宋体"/>
          <w:color w:val="auto"/>
        </w:rPr>
      </w:pPr>
      <w:r>
        <w:rPr>
          <w:rFonts w:hint="eastAsia" w:ascii="宋体" w:hAnsi="宋体" w:eastAsia="宋体" w:cs="宋体"/>
          <w:color w:val="auto"/>
        </w:rPr>
        <w:t>（1）评标委员会对于节能、环保产品或小型、微型企业或监狱企业或残疾人福利性单位的价格扣除，审核供应商填写的《政府采购政策情况表》。</w:t>
      </w:r>
    </w:p>
    <w:p>
      <w:pPr>
        <w:pStyle w:val="44"/>
        <w:keepNext w:val="0"/>
        <w:keepLines w:val="0"/>
        <w:pageBreakBefore w:val="0"/>
        <w:kinsoku/>
        <w:wordWrap/>
        <w:overflowPunct/>
        <w:topLinePunct w:val="0"/>
        <w:bidi w:val="0"/>
        <w:spacing w:after="0" w:line="360" w:lineRule="auto"/>
        <w:ind w:firstLine="456" w:firstLineChars="200"/>
        <w:jc w:val="both"/>
        <w:textAlignment w:val="auto"/>
        <w:rPr>
          <w:rFonts w:hint="eastAsia" w:ascii="宋体" w:hAnsi="宋体" w:eastAsia="宋体" w:cs="宋体"/>
          <w:color w:val="auto"/>
        </w:rPr>
      </w:pPr>
      <w:r>
        <w:rPr>
          <w:rFonts w:hint="eastAsia" w:ascii="宋体" w:hAnsi="宋体" w:eastAsia="宋体" w:cs="宋体"/>
          <w:color w:val="auto"/>
        </w:rPr>
        <w:t>（2）对于非专门面向中小微企业、监狱企业、残疾人福利性单位采购的项目，依照《政府采购促进中小企业发展</w:t>
      </w:r>
      <w:r>
        <w:rPr>
          <w:rFonts w:hint="eastAsia" w:ascii="宋体" w:hAnsi="宋体" w:eastAsia="宋体" w:cs="宋体"/>
          <w:color w:val="auto"/>
          <w:lang w:val="en-US" w:eastAsia="zh-CN"/>
        </w:rPr>
        <w:t>管理</w:t>
      </w:r>
      <w:r>
        <w:rPr>
          <w:rFonts w:hint="eastAsia" w:ascii="宋体" w:hAnsi="宋体" w:eastAsia="宋体" w:cs="宋体"/>
          <w:color w:val="auto"/>
        </w:rPr>
        <w:t>办法》的规定，凡符合要求的有效供应商，按照以下比例给予相应的价格扣除：</w:t>
      </w:r>
      <w:bookmarkStart w:id="11" w:name="EBcc11b9a2d04748ceacce350f7aa0e3fc"/>
      <w:bookmarkEnd w:id="11"/>
      <w:bookmarkStart w:id="12" w:name="EB52db735d52d94509a12378b48e78a48b"/>
      <w:bookmarkEnd w:id="12"/>
    </w:p>
    <w:tbl>
      <w:tblPr>
        <w:tblStyle w:val="30"/>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699"/>
        <w:gridCol w:w="2662"/>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lang w:val="en-GB"/>
              </w:rPr>
            </w:pPr>
            <w:r>
              <w:rPr>
                <w:rFonts w:hint="eastAsia" w:ascii="宋体" w:hAnsi="宋体" w:cs="宋体"/>
                <w:color w:val="auto"/>
                <w:sz w:val="24"/>
                <w:szCs w:val="21"/>
                <w:lang w:val="en-GB"/>
              </w:rPr>
              <w:t>序号</w:t>
            </w:r>
          </w:p>
        </w:tc>
        <w:tc>
          <w:tcPr>
            <w:tcW w:w="2699" w:type="dxa"/>
            <w:noWrap w:val="0"/>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lang w:val="en-GB"/>
              </w:rPr>
            </w:pPr>
            <w:r>
              <w:rPr>
                <w:rFonts w:hint="eastAsia" w:ascii="宋体" w:hAnsi="宋体" w:cs="宋体"/>
                <w:color w:val="auto"/>
                <w:sz w:val="24"/>
                <w:szCs w:val="21"/>
                <w:lang w:val="en-GB"/>
              </w:rPr>
              <w:t>情形</w:t>
            </w:r>
          </w:p>
        </w:tc>
        <w:tc>
          <w:tcPr>
            <w:tcW w:w="2662" w:type="dxa"/>
            <w:noWrap w:val="0"/>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lang w:val="en-GB"/>
              </w:rPr>
            </w:pPr>
            <w:r>
              <w:rPr>
                <w:rFonts w:hint="eastAsia" w:ascii="宋体" w:hAnsi="宋体" w:cs="宋体"/>
                <w:color w:val="auto"/>
                <w:sz w:val="24"/>
                <w:szCs w:val="21"/>
              </w:rPr>
              <w:t>价格扣除</w:t>
            </w:r>
            <w:r>
              <w:rPr>
                <w:rFonts w:hint="eastAsia" w:ascii="宋体" w:hAnsi="宋体" w:cs="宋体"/>
                <w:color w:val="auto"/>
                <w:sz w:val="24"/>
                <w:szCs w:val="21"/>
                <w:lang w:val="en-GB"/>
              </w:rPr>
              <w:t>比例</w:t>
            </w:r>
          </w:p>
        </w:tc>
        <w:tc>
          <w:tcPr>
            <w:tcW w:w="3028" w:type="dxa"/>
            <w:noWrap w:val="0"/>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lang w:val="en-GB"/>
              </w:rPr>
            </w:pPr>
            <w:r>
              <w:rPr>
                <w:rFonts w:hint="eastAsia" w:ascii="宋体" w:hAnsi="宋体" w:cs="宋体"/>
                <w:color w:val="auto"/>
                <w:sz w:val="24"/>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lang w:val="en-GB"/>
              </w:rPr>
            </w:pPr>
            <w:r>
              <w:rPr>
                <w:rFonts w:hint="eastAsia" w:ascii="宋体" w:hAnsi="宋体" w:cs="宋体"/>
                <w:color w:val="auto"/>
                <w:sz w:val="24"/>
                <w:szCs w:val="21"/>
                <w:lang w:val="en-GB"/>
              </w:rPr>
              <w:t>1</w:t>
            </w:r>
          </w:p>
        </w:tc>
        <w:tc>
          <w:tcPr>
            <w:tcW w:w="2699" w:type="dxa"/>
            <w:noWrap w:val="0"/>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lang w:val="en-GB"/>
              </w:rPr>
            </w:pPr>
            <w:r>
              <w:rPr>
                <w:rFonts w:hint="eastAsia" w:ascii="宋体" w:hAnsi="宋体" w:cs="宋体"/>
                <w:color w:val="auto"/>
                <w:sz w:val="24"/>
                <w:szCs w:val="21"/>
                <w:lang w:val="en-GB"/>
              </w:rPr>
              <w:t>非联合体供应商</w:t>
            </w:r>
          </w:p>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lang w:val="en-GB"/>
              </w:rPr>
            </w:pPr>
            <w:r>
              <w:rPr>
                <w:rFonts w:hint="eastAsia" w:ascii="宋体" w:hAnsi="宋体" w:cs="宋体"/>
                <w:color w:val="auto"/>
                <w:sz w:val="24"/>
                <w:szCs w:val="21"/>
                <w:lang w:val="en-GB"/>
              </w:rPr>
              <w:t>（供应商须为小微企业、监狱企业、残疾人福利性单位）</w:t>
            </w:r>
          </w:p>
        </w:tc>
        <w:tc>
          <w:tcPr>
            <w:tcW w:w="2662" w:type="dxa"/>
            <w:noWrap w:val="0"/>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lang w:val="en-GB"/>
              </w:rPr>
            </w:pPr>
            <w:r>
              <w:rPr>
                <w:rFonts w:hint="eastAsia" w:ascii="宋体" w:hAnsi="宋体" w:cs="宋体"/>
                <w:color w:val="auto"/>
                <w:sz w:val="24"/>
                <w:szCs w:val="21"/>
              </w:rPr>
              <w:t>对小型、微型企业和残疾人福利性单位产品的价格扣除</w:t>
            </w:r>
            <w:r>
              <w:rPr>
                <w:rFonts w:hint="eastAsia" w:ascii="宋体" w:hAnsi="宋体" w:cs="宋体"/>
                <w:color w:val="auto"/>
                <w:sz w:val="24"/>
                <w:szCs w:val="21"/>
                <w:u w:val="single"/>
                <w:lang w:val="en-US" w:eastAsia="zh-CN"/>
              </w:rPr>
              <w:t>20%</w:t>
            </w:r>
          </w:p>
        </w:tc>
        <w:tc>
          <w:tcPr>
            <w:tcW w:w="302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lang w:val="en-GB"/>
              </w:rPr>
            </w:pPr>
            <w:r>
              <w:rPr>
                <w:rFonts w:hint="eastAsia" w:ascii="宋体" w:hAnsi="宋体" w:cs="宋体"/>
                <w:color w:val="auto"/>
                <w:sz w:val="24"/>
                <w:szCs w:val="21"/>
                <w:lang w:val="en-GB"/>
              </w:rPr>
              <w:t>评标价＝总投标报价—</w:t>
            </w:r>
            <w:r>
              <w:rPr>
                <w:rFonts w:hint="eastAsia" w:ascii="宋体" w:hAnsi="宋体" w:cs="宋体"/>
                <w:color w:val="auto"/>
                <w:sz w:val="24"/>
                <w:szCs w:val="21"/>
              </w:rPr>
              <w:t>小型、微型企业和残疾人福利性单位产品的价格</w:t>
            </w:r>
            <w:r>
              <w:rPr>
                <w:rFonts w:hint="eastAsia" w:ascii="宋体" w:hAnsi="宋体" w:cs="宋体"/>
                <w:color w:val="auto"/>
                <w:sz w:val="24"/>
                <w:szCs w:val="21"/>
                <w:lang w:val="en-GB"/>
              </w:rPr>
              <w:t>×</w:t>
            </w:r>
            <w:r>
              <w:rPr>
                <w:rFonts w:hint="eastAsia" w:ascii="宋体" w:hAnsi="宋体" w:cs="宋体"/>
                <w:color w:val="auto"/>
                <w:sz w:val="24"/>
                <w:szCs w:val="21"/>
                <w:u w:val="singl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lang w:val="en-GB"/>
              </w:rPr>
            </w:pPr>
            <w:r>
              <w:rPr>
                <w:rFonts w:hint="eastAsia" w:ascii="宋体" w:hAnsi="宋体" w:cs="宋体"/>
                <w:color w:val="auto"/>
                <w:sz w:val="24"/>
                <w:szCs w:val="21"/>
                <w:lang w:val="en-GB"/>
              </w:rPr>
              <w:t>2</w:t>
            </w:r>
          </w:p>
        </w:tc>
        <w:tc>
          <w:tcPr>
            <w:tcW w:w="2699" w:type="dxa"/>
            <w:noWrap w:val="0"/>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rPr>
            </w:pPr>
            <w:r>
              <w:rPr>
                <w:rFonts w:hint="eastAsia" w:ascii="宋体" w:hAnsi="宋体" w:cs="宋体"/>
                <w:color w:val="auto"/>
                <w:sz w:val="24"/>
                <w:szCs w:val="21"/>
                <w:lang w:val="en-GB"/>
              </w:rPr>
              <w:t>联合体各方均为小微企业、监狱企业、残疾人福利性单位</w:t>
            </w:r>
          </w:p>
        </w:tc>
        <w:tc>
          <w:tcPr>
            <w:tcW w:w="2662" w:type="dxa"/>
            <w:noWrap w:val="0"/>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rPr>
            </w:pPr>
            <w:r>
              <w:rPr>
                <w:rFonts w:hint="eastAsia" w:ascii="宋体" w:hAnsi="宋体" w:cs="宋体"/>
                <w:color w:val="auto"/>
                <w:sz w:val="24"/>
                <w:szCs w:val="21"/>
              </w:rPr>
              <w:t>对小型、微型企业和残疾人福利性单位产品的价格扣除</w:t>
            </w:r>
            <w:r>
              <w:rPr>
                <w:rFonts w:hint="eastAsia" w:ascii="宋体" w:hAnsi="宋体" w:cs="宋体"/>
                <w:color w:val="auto"/>
                <w:sz w:val="24"/>
                <w:szCs w:val="21"/>
                <w:u w:val="single"/>
                <w:lang w:val="en-US" w:eastAsia="zh-CN"/>
              </w:rPr>
              <w:t>20%</w:t>
            </w:r>
          </w:p>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lang w:val="en-GB"/>
              </w:rPr>
            </w:pPr>
            <w:r>
              <w:rPr>
                <w:rFonts w:hint="eastAsia" w:ascii="宋体" w:hAnsi="宋体" w:cs="宋体"/>
                <w:color w:val="auto"/>
                <w:sz w:val="24"/>
                <w:szCs w:val="21"/>
              </w:rPr>
              <w:t>（不再享受序号3的价格折扣）</w:t>
            </w:r>
          </w:p>
        </w:tc>
        <w:tc>
          <w:tcPr>
            <w:tcW w:w="3028" w:type="dxa"/>
            <w:vMerge w:val="continue"/>
            <w:noWrap w:val="0"/>
            <w:vAlign w:val="top"/>
          </w:tcPr>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lang w:val="en-GB"/>
              </w:rPr>
            </w:pPr>
            <w:r>
              <w:rPr>
                <w:rFonts w:hint="eastAsia" w:ascii="宋体" w:hAnsi="宋体" w:cs="宋体"/>
                <w:color w:val="auto"/>
                <w:sz w:val="24"/>
                <w:szCs w:val="21"/>
                <w:lang w:val="en-GB"/>
              </w:rPr>
              <w:t>3</w:t>
            </w:r>
          </w:p>
        </w:tc>
        <w:tc>
          <w:tcPr>
            <w:tcW w:w="2699" w:type="dxa"/>
            <w:noWrap w:val="0"/>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lang w:val="en-GB"/>
              </w:rPr>
            </w:pPr>
            <w:r>
              <w:rPr>
                <w:rFonts w:hint="eastAsia" w:ascii="宋体" w:hAnsi="宋体" w:cs="宋体"/>
                <w:color w:val="auto"/>
                <w:sz w:val="24"/>
                <w:szCs w:val="21"/>
                <w:lang w:val="en-GB"/>
              </w:rPr>
              <w:t>联合体一方为小微企业、监狱企业、残疾人福利性单位且小微企业、监狱企业、残疾人福利性单位协议合同金额占联合体协议合同总金额30%以上的</w:t>
            </w:r>
          </w:p>
        </w:tc>
        <w:tc>
          <w:tcPr>
            <w:tcW w:w="2662" w:type="dxa"/>
            <w:noWrap w:val="0"/>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lang w:val="en-GB"/>
              </w:rPr>
            </w:pPr>
            <w:r>
              <w:rPr>
                <w:rFonts w:hint="eastAsia" w:ascii="宋体" w:hAnsi="宋体" w:cs="宋体"/>
                <w:color w:val="auto"/>
                <w:sz w:val="24"/>
                <w:szCs w:val="21"/>
                <w:lang w:val="en-GB"/>
              </w:rPr>
              <w:t>对联合体总金额扣除</w:t>
            </w:r>
            <w:r>
              <w:rPr>
                <w:rFonts w:hint="eastAsia" w:ascii="宋体" w:hAnsi="宋体" w:cs="宋体"/>
                <w:color w:val="auto"/>
                <w:sz w:val="24"/>
                <w:szCs w:val="21"/>
                <w:u w:val="single"/>
              </w:rPr>
              <w:t>2</w:t>
            </w:r>
            <w:r>
              <w:rPr>
                <w:rFonts w:hint="eastAsia" w:ascii="宋体" w:hAnsi="宋体" w:cs="宋体"/>
                <w:color w:val="auto"/>
                <w:sz w:val="24"/>
                <w:szCs w:val="21"/>
              </w:rPr>
              <w:t>%</w:t>
            </w:r>
          </w:p>
        </w:tc>
        <w:tc>
          <w:tcPr>
            <w:tcW w:w="3028" w:type="dxa"/>
            <w:noWrap w:val="0"/>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textAlignment w:val="auto"/>
              <w:rPr>
                <w:rFonts w:hint="eastAsia" w:ascii="宋体" w:hAnsi="宋体" w:cs="宋体"/>
                <w:color w:val="auto"/>
                <w:sz w:val="24"/>
                <w:szCs w:val="21"/>
                <w:lang w:val="en-GB"/>
              </w:rPr>
            </w:pPr>
            <w:r>
              <w:rPr>
                <w:rFonts w:hint="eastAsia" w:ascii="宋体" w:hAnsi="宋体" w:cs="宋体"/>
                <w:color w:val="auto"/>
                <w:sz w:val="24"/>
                <w:szCs w:val="21"/>
                <w:lang w:val="en-GB"/>
              </w:rPr>
              <w:t>评标价＝总投标报价×</w:t>
            </w:r>
            <w:r>
              <w:rPr>
                <w:rFonts w:hint="eastAsia" w:ascii="宋体" w:hAnsi="宋体" w:cs="宋体"/>
                <w:color w:val="auto"/>
                <w:sz w:val="24"/>
                <w:szCs w:val="21"/>
              </w:rPr>
              <w:t>(1-</w:t>
            </w:r>
            <w:r>
              <w:rPr>
                <w:rFonts w:hint="eastAsia" w:ascii="宋体" w:hAnsi="宋体" w:cs="宋体"/>
                <w:color w:val="auto"/>
                <w:sz w:val="24"/>
                <w:szCs w:val="21"/>
                <w:u w:val="single"/>
              </w:rPr>
              <w:t>2%)</w:t>
            </w:r>
          </w:p>
        </w:tc>
      </w:tr>
    </w:tbl>
    <w:p>
      <w:pPr>
        <w:pStyle w:val="44"/>
        <w:keepNext w:val="0"/>
        <w:keepLines w:val="0"/>
        <w:pageBreakBefore w:val="0"/>
        <w:kinsoku/>
        <w:wordWrap/>
        <w:overflowPunct/>
        <w:topLinePunct w:val="0"/>
        <w:bidi w:val="0"/>
        <w:spacing w:after="0" w:line="360" w:lineRule="auto"/>
        <w:jc w:val="both"/>
        <w:textAlignment w:val="auto"/>
        <w:rPr>
          <w:rFonts w:hint="eastAsia" w:ascii="宋体" w:hAnsi="宋体" w:eastAsia="宋体" w:cs="宋体"/>
          <w:color w:val="auto"/>
        </w:rPr>
      </w:pPr>
      <w:r>
        <w:rPr>
          <w:rFonts w:hint="eastAsia" w:ascii="宋体" w:hAnsi="宋体" w:eastAsia="宋体" w:cs="宋体"/>
          <w:color w:val="auto"/>
        </w:rPr>
        <w:t>注：1.上述评标价仅用于计算价格评分，中标金额以实际投标价为准。</w:t>
      </w:r>
    </w:p>
    <w:p>
      <w:pPr>
        <w:spacing w:after="0" w:line="560" w:lineRule="exact"/>
        <w:ind w:firstLine="456" w:firstLineChars="200"/>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2.小微企业、监狱企业、残疾人福利性单位是指供应商及其所投产品的制造商均为小微企业、监狱企业、残疾人福利性单位。</w:t>
      </w:r>
    </w:p>
    <w:p>
      <w:pPr>
        <w:spacing w:after="0" w:line="560" w:lineRule="exact"/>
        <w:rPr>
          <w:rFonts w:ascii="宋体" w:hAnsi="宋体" w:cs="宋体"/>
          <w:color w:val="auto"/>
          <w:sz w:val="24"/>
          <w:szCs w:val="24"/>
        </w:rPr>
      </w:pPr>
      <w:r>
        <w:rPr>
          <w:rFonts w:hint="eastAsia" w:ascii="宋体" w:hAnsi="宋体" w:cs="宋体"/>
          <w:color w:val="auto"/>
          <w:sz w:val="24"/>
          <w:szCs w:val="24"/>
        </w:rPr>
        <w:t>26. 投标文件的澄清</w:t>
      </w:r>
    </w:p>
    <w:p>
      <w:pPr>
        <w:spacing w:after="0" w:line="560" w:lineRule="exact"/>
        <w:rPr>
          <w:rFonts w:ascii="宋体" w:hAnsi="宋体" w:cs="宋体"/>
          <w:color w:val="auto"/>
          <w:sz w:val="24"/>
          <w:szCs w:val="24"/>
        </w:rPr>
      </w:pPr>
      <w:r>
        <w:rPr>
          <w:rFonts w:hint="eastAsia" w:ascii="宋体" w:hAnsi="宋体" w:cs="宋体"/>
          <w:color w:val="auto"/>
          <w:sz w:val="24"/>
          <w:szCs w:val="24"/>
        </w:rPr>
        <w:t>26.1 澄清有关问题。为了有助于对投标文件进行审查、评估和比较，评标委员会有权要求</w:t>
      </w:r>
      <w:r>
        <w:rPr>
          <w:rFonts w:hint="eastAsia" w:ascii="宋体" w:hAnsi="宋体" w:cs="宋体"/>
          <w:color w:val="auto"/>
          <w:sz w:val="24"/>
          <w:szCs w:val="24"/>
          <w:lang w:eastAsia="zh-CN"/>
        </w:rPr>
        <w:t>供应商</w:t>
      </w:r>
      <w:r>
        <w:rPr>
          <w:rFonts w:hint="eastAsia" w:ascii="宋体" w:hAnsi="宋体" w:cs="宋体"/>
          <w:color w:val="auto"/>
          <w:sz w:val="24"/>
          <w:szCs w:val="24"/>
        </w:rPr>
        <w:t>对投标文件中含义不明确、同类问题表述不一致或者有明显文字和计算错误的内容作出必要的澄清、说明或者纠正。</w:t>
      </w:r>
      <w:r>
        <w:rPr>
          <w:rFonts w:hint="eastAsia" w:ascii="宋体" w:hAnsi="宋体" w:cs="宋体"/>
          <w:color w:val="auto"/>
          <w:sz w:val="24"/>
          <w:szCs w:val="24"/>
          <w:lang w:eastAsia="zh-CN"/>
        </w:rPr>
        <w:t>供应商</w:t>
      </w:r>
      <w:r>
        <w:rPr>
          <w:rFonts w:hint="eastAsia" w:ascii="宋体" w:hAnsi="宋体" w:cs="宋体"/>
          <w:color w:val="auto"/>
          <w:sz w:val="24"/>
          <w:szCs w:val="24"/>
        </w:rPr>
        <w:t>有义务按照评标委员会通知的时间、地点指派投标代表人就相关问题进行澄清。</w:t>
      </w:r>
    </w:p>
    <w:p>
      <w:pPr>
        <w:spacing w:after="0" w:line="560" w:lineRule="exact"/>
        <w:rPr>
          <w:rFonts w:ascii="宋体" w:hAnsi="宋体" w:cs="宋体"/>
          <w:color w:val="auto"/>
          <w:sz w:val="24"/>
          <w:szCs w:val="24"/>
        </w:rPr>
      </w:pPr>
      <w:r>
        <w:rPr>
          <w:rFonts w:hint="eastAsia" w:ascii="宋体" w:hAnsi="宋体" w:cs="宋体"/>
          <w:color w:val="auto"/>
          <w:sz w:val="24"/>
          <w:szCs w:val="24"/>
        </w:rPr>
        <w:t>26.2投标文件的澄清、说明或者补充应当为书面形式，并由法定代表人或投标代表人签署。</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26.3 </w:t>
      </w:r>
      <w:r>
        <w:rPr>
          <w:rFonts w:hint="eastAsia" w:ascii="宋体" w:hAnsi="宋体" w:cs="宋体"/>
          <w:color w:val="auto"/>
          <w:sz w:val="24"/>
          <w:szCs w:val="24"/>
          <w:lang w:eastAsia="zh-CN"/>
        </w:rPr>
        <w:t>供应商</w:t>
      </w:r>
      <w:r>
        <w:rPr>
          <w:rFonts w:hint="eastAsia" w:ascii="宋体" w:hAnsi="宋体" w:cs="宋体"/>
          <w:color w:val="auto"/>
          <w:sz w:val="24"/>
          <w:szCs w:val="24"/>
        </w:rPr>
        <w:t>的澄清、说明、答复或者补充应在规定的时间内完成，并不得超出投标文件的范围或对投标内容进行实质性的修改。</w:t>
      </w:r>
    </w:p>
    <w:p>
      <w:pPr>
        <w:spacing w:after="0" w:line="560" w:lineRule="exact"/>
        <w:rPr>
          <w:rFonts w:ascii="宋体" w:hAnsi="宋体" w:cs="宋体"/>
          <w:color w:val="auto"/>
          <w:sz w:val="24"/>
          <w:szCs w:val="24"/>
        </w:rPr>
      </w:pPr>
      <w:r>
        <w:rPr>
          <w:rFonts w:hint="eastAsia" w:ascii="宋体" w:hAnsi="宋体" w:cs="宋体"/>
          <w:color w:val="auto"/>
          <w:sz w:val="24"/>
          <w:szCs w:val="24"/>
        </w:rPr>
        <w:t>26.4 澄清文件将作为投标文件的一部分，与投标文件具有同等的法律效力。</w:t>
      </w:r>
    </w:p>
    <w:p>
      <w:pPr>
        <w:spacing w:after="0" w:line="560" w:lineRule="exact"/>
        <w:rPr>
          <w:rFonts w:ascii="宋体" w:hAnsi="宋体" w:cs="宋体"/>
          <w:color w:val="auto"/>
          <w:sz w:val="24"/>
          <w:szCs w:val="24"/>
        </w:rPr>
      </w:pPr>
      <w:r>
        <w:rPr>
          <w:rFonts w:hint="eastAsia" w:ascii="宋体" w:hAnsi="宋体" w:cs="宋体"/>
          <w:color w:val="auto"/>
          <w:sz w:val="24"/>
          <w:szCs w:val="24"/>
        </w:rPr>
        <w:t>27. 投标的评估和比较</w:t>
      </w:r>
    </w:p>
    <w:p>
      <w:pPr>
        <w:spacing w:after="0" w:line="560" w:lineRule="exact"/>
        <w:rPr>
          <w:rFonts w:ascii="宋体" w:hAnsi="宋体" w:cs="宋体"/>
          <w:color w:val="auto"/>
          <w:sz w:val="24"/>
          <w:szCs w:val="24"/>
        </w:rPr>
      </w:pPr>
      <w:r>
        <w:rPr>
          <w:rFonts w:hint="eastAsia" w:ascii="宋体" w:hAnsi="宋体" w:cs="宋体"/>
          <w:color w:val="auto"/>
          <w:sz w:val="24"/>
          <w:szCs w:val="24"/>
        </w:rPr>
        <w:t>评标委员会将根据招标文件确定的评标原则和评标方法对确定为实质上响应招标文件要求的投标进行评估和比较。</w:t>
      </w:r>
    </w:p>
    <w:p>
      <w:pPr>
        <w:spacing w:after="0" w:line="560" w:lineRule="exact"/>
        <w:rPr>
          <w:rFonts w:ascii="宋体" w:hAnsi="宋体" w:cs="宋体"/>
          <w:color w:val="auto"/>
          <w:sz w:val="24"/>
          <w:szCs w:val="24"/>
        </w:rPr>
      </w:pPr>
      <w:r>
        <w:rPr>
          <w:rFonts w:hint="eastAsia" w:ascii="宋体" w:hAnsi="宋体" w:cs="宋体"/>
          <w:color w:val="auto"/>
          <w:sz w:val="24"/>
          <w:szCs w:val="24"/>
        </w:rPr>
        <w:t>28. 评标原则和评标方法</w:t>
      </w:r>
    </w:p>
    <w:p>
      <w:pPr>
        <w:spacing w:after="0" w:line="560" w:lineRule="exact"/>
        <w:rPr>
          <w:rFonts w:ascii="宋体" w:hAnsi="宋体" w:cs="宋体"/>
          <w:color w:val="auto"/>
          <w:sz w:val="24"/>
          <w:szCs w:val="24"/>
        </w:rPr>
      </w:pPr>
      <w:r>
        <w:rPr>
          <w:rFonts w:hint="eastAsia" w:ascii="宋体" w:hAnsi="宋体" w:cs="宋体"/>
          <w:color w:val="auto"/>
          <w:sz w:val="24"/>
          <w:szCs w:val="24"/>
        </w:rPr>
        <w:t>28.1 评标原则</w:t>
      </w:r>
    </w:p>
    <w:p>
      <w:pPr>
        <w:spacing w:after="0" w:line="560" w:lineRule="exact"/>
        <w:rPr>
          <w:rFonts w:ascii="宋体" w:hAnsi="宋体" w:cs="宋体"/>
          <w:color w:val="auto"/>
          <w:sz w:val="24"/>
          <w:szCs w:val="24"/>
        </w:rPr>
      </w:pPr>
      <w:r>
        <w:rPr>
          <w:rFonts w:hint="eastAsia" w:ascii="宋体" w:hAnsi="宋体" w:cs="宋体"/>
          <w:color w:val="auto"/>
          <w:sz w:val="24"/>
          <w:szCs w:val="24"/>
        </w:rPr>
        <w:t>（1）评标委员会应当按照客观、公正、审慎的原则，根据招标文件规定的评审程序、评审方法和评审标准进行独立评审。</w:t>
      </w:r>
    </w:p>
    <w:p>
      <w:pPr>
        <w:spacing w:after="0" w:line="560" w:lineRule="exact"/>
        <w:rPr>
          <w:rFonts w:ascii="宋体" w:hAnsi="宋体" w:cs="宋体"/>
          <w:color w:val="auto"/>
          <w:sz w:val="24"/>
          <w:szCs w:val="24"/>
        </w:rPr>
      </w:pPr>
      <w:r>
        <w:rPr>
          <w:rFonts w:hint="eastAsia" w:ascii="宋体" w:hAnsi="宋体" w:cs="宋体"/>
          <w:color w:val="auto"/>
          <w:sz w:val="24"/>
          <w:szCs w:val="24"/>
        </w:rPr>
        <w:t>（2）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after="0" w:line="560" w:lineRule="exact"/>
        <w:rPr>
          <w:rFonts w:ascii="宋体" w:hAnsi="宋体" w:cs="宋体"/>
          <w:color w:val="auto"/>
          <w:sz w:val="24"/>
          <w:szCs w:val="24"/>
        </w:rPr>
      </w:pPr>
      <w:r>
        <w:rPr>
          <w:rFonts w:hint="eastAsia" w:ascii="宋体" w:hAnsi="宋体" w:cs="宋体"/>
          <w:color w:val="auto"/>
          <w:sz w:val="24"/>
          <w:szCs w:val="24"/>
        </w:rPr>
        <w:t>（3）对招标文件中描述有歧义或前后不一致的地方，但不影响项目评审的，评标委员会有权进行评判，但对同一条款的评判应适用于每个</w:t>
      </w:r>
      <w:r>
        <w:rPr>
          <w:rFonts w:hint="eastAsia" w:ascii="宋体" w:hAnsi="宋体" w:cs="宋体"/>
          <w:color w:val="auto"/>
          <w:sz w:val="24"/>
          <w:szCs w:val="24"/>
          <w:lang w:eastAsia="zh-CN"/>
        </w:rPr>
        <w:t>供应商</w:t>
      </w:r>
      <w:r>
        <w:rPr>
          <w:rFonts w:hint="eastAsia" w:ascii="宋体" w:hAnsi="宋体" w:cs="宋体"/>
          <w:color w:val="auto"/>
          <w:sz w:val="24"/>
          <w:szCs w:val="24"/>
        </w:rPr>
        <w:t>。</w:t>
      </w:r>
    </w:p>
    <w:p>
      <w:pPr>
        <w:spacing w:after="0" w:line="560" w:lineRule="exact"/>
        <w:rPr>
          <w:rFonts w:ascii="宋体" w:hAnsi="宋体" w:cs="宋体"/>
          <w:color w:val="auto"/>
          <w:sz w:val="24"/>
          <w:szCs w:val="24"/>
        </w:rPr>
      </w:pPr>
      <w:r>
        <w:rPr>
          <w:rFonts w:hint="eastAsia" w:ascii="宋体" w:hAnsi="宋体" w:cs="宋体"/>
          <w:color w:val="auto"/>
          <w:sz w:val="24"/>
          <w:szCs w:val="24"/>
        </w:rPr>
        <w:t>（4）评标委员会认为</w:t>
      </w:r>
      <w:r>
        <w:rPr>
          <w:rFonts w:hint="eastAsia" w:ascii="宋体" w:hAnsi="宋体" w:cs="宋体"/>
          <w:color w:val="auto"/>
          <w:sz w:val="24"/>
          <w:szCs w:val="24"/>
          <w:lang w:eastAsia="zh-CN"/>
        </w:rPr>
        <w:t>供应商</w:t>
      </w:r>
      <w:r>
        <w:rPr>
          <w:rFonts w:hint="eastAsia" w:ascii="宋体" w:hAnsi="宋体" w:cs="宋体"/>
          <w:color w:val="auto"/>
          <w:sz w:val="24"/>
          <w:szCs w:val="24"/>
        </w:rPr>
        <w:t>的报价明显低于其他通过符合性审查</w:t>
      </w:r>
      <w:r>
        <w:rPr>
          <w:rFonts w:hint="eastAsia" w:ascii="宋体" w:hAnsi="宋体" w:cs="宋体"/>
          <w:color w:val="auto"/>
          <w:sz w:val="24"/>
          <w:szCs w:val="24"/>
          <w:lang w:eastAsia="zh-CN"/>
        </w:rPr>
        <w:t>供应商</w:t>
      </w:r>
      <w:r>
        <w:rPr>
          <w:rFonts w:hint="eastAsia" w:ascii="宋体" w:hAnsi="宋体" w:cs="宋体"/>
          <w:color w:val="auto"/>
          <w:sz w:val="24"/>
          <w:szCs w:val="24"/>
        </w:rPr>
        <w:t>的报价，有可能影响产品质量或者不能诚信履约的，应当要求其在评标现场合理的时间内提供书面说明，必要时提交相关证明材料；</w:t>
      </w:r>
      <w:r>
        <w:rPr>
          <w:rFonts w:hint="eastAsia" w:ascii="宋体" w:hAnsi="宋体" w:cs="宋体"/>
          <w:color w:val="auto"/>
          <w:sz w:val="24"/>
          <w:szCs w:val="24"/>
          <w:lang w:eastAsia="zh-CN"/>
        </w:rPr>
        <w:t>供应商</w:t>
      </w:r>
      <w:r>
        <w:rPr>
          <w:rFonts w:hint="eastAsia" w:ascii="宋体" w:hAnsi="宋体" w:cs="宋体"/>
          <w:color w:val="auto"/>
          <w:sz w:val="24"/>
          <w:szCs w:val="24"/>
        </w:rPr>
        <w:t>不能证明其报价合理性的，评标委员会应当将其作为无效投标处理。</w:t>
      </w:r>
    </w:p>
    <w:p>
      <w:pPr>
        <w:spacing w:after="0" w:line="560" w:lineRule="exact"/>
        <w:rPr>
          <w:rFonts w:ascii="宋体" w:hAnsi="宋体" w:cs="宋体"/>
          <w:color w:val="auto"/>
          <w:sz w:val="24"/>
          <w:szCs w:val="24"/>
        </w:rPr>
      </w:pPr>
      <w:r>
        <w:rPr>
          <w:rFonts w:hint="eastAsia" w:ascii="宋体" w:hAnsi="宋体" w:cs="宋体"/>
          <w:color w:val="auto"/>
          <w:sz w:val="24"/>
          <w:szCs w:val="24"/>
        </w:rPr>
        <w:t>28.2 评标方法</w:t>
      </w:r>
    </w:p>
    <w:p>
      <w:pPr>
        <w:spacing w:after="0" w:line="560" w:lineRule="exact"/>
        <w:rPr>
          <w:rFonts w:ascii="宋体" w:hAnsi="宋体" w:cs="宋体"/>
          <w:color w:val="auto"/>
          <w:sz w:val="24"/>
          <w:szCs w:val="24"/>
        </w:rPr>
      </w:pPr>
      <w:r>
        <w:rPr>
          <w:rFonts w:hint="eastAsia" w:ascii="宋体" w:hAnsi="宋体" w:cs="宋体"/>
          <w:color w:val="auto"/>
          <w:sz w:val="24"/>
          <w:szCs w:val="24"/>
        </w:rPr>
        <w:t>（1）采用“综合评分法”的评标方法，具体评审因素详见《招标项目需求》。评标采用百分制，各评委独立分别对实质上响应招标文件的投标进行逐项打分，对评标委员会各成员每一因素的打分汇总后取算术平均分，该平均分为供应商的得分。</w:t>
      </w:r>
    </w:p>
    <w:p>
      <w:pPr>
        <w:spacing w:after="0" w:line="560" w:lineRule="exact"/>
        <w:rPr>
          <w:rFonts w:ascii="宋体" w:hAnsi="宋体" w:cs="宋体"/>
          <w:color w:val="auto"/>
          <w:sz w:val="24"/>
          <w:szCs w:val="24"/>
        </w:rPr>
      </w:pPr>
      <w:r>
        <w:rPr>
          <w:rFonts w:hint="eastAsia" w:ascii="宋体" w:hAnsi="宋体" w:cs="宋体"/>
          <w:color w:val="auto"/>
          <w:sz w:val="24"/>
          <w:szCs w:val="24"/>
        </w:rPr>
        <w:t>（2）根据《中华人民共和国政府采购法实施条例》和《关于进一步规范政府采购评审工作有关问题的通知》（财库〔2012〕69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pPr>
        <w:spacing w:after="0" w:line="560" w:lineRule="exact"/>
        <w:rPr>
          <w:rFonts w:ascii="宋体" w:hAnsi="宋体" w:cs="宋体"/>
          <w:color w:val="auto"/>
          <w:sz w:val="24"/>
          <w:szCs w:val="24"/>
        </w:rPr>
      </w:pPr>
      <w:r>
        <w:rPr>
          <w:rFonts w:hint="eastAsia" w:ascii="宋体" w:hAnsi="宋体" w:cs="宋体"/>
          <w:color w:val="auto"/>
          <w:sz w:val="24"/>
          <w:szCs w:val="24"/>
        </w:rPr>
        <w:t>（3）按照现行《财政部、国家发展改革委关于调整节能产品政府采购清单的通知》文件要求，对政府采购清单中的节能产品采用优先采购和强制采购的评标方法。</w:t>
      </w:r>
    </w:p>
    <w:p>
      <w:pPr>
        <w:spacing w:after="0" w:line="560" w:lineRule="exact"/>
        <w:rPr>
          <w:rFonts w:ascii="宋体" w:hAnsi="宋体" w:cs="宋体"/>
          <w:color w:val="auto"/>
          <w:sz w:val="24"/>
          <w:szCs w:val="24"/>
        </w:rPr>
      </w:pPr>
      <w:r>
        <w:rPr>
          <w:rFonts w:hint="eastAsia" w:ascii="宋体" w:hAnsi="宋体" w:cs="宋体"/>
          <w:color w:val="auto"/>
          <w:sz w:val="24"/>
          <w:szCs w:val="24"/>
        </w:rPr>
        <w:t>（4）评标委员会审查产品资质或检测报告等相关文件符合性时，应综合考虑行业特点、交易习惯、采购需求最本质原义等情况，而不应以投标文件中产品名称与招标文件产品名称是否一致作为审查的标准。</w:t>
      </w:r>
    </w:p>
    <w:p>
      <w:pPr>
        <w:spacing w:after="0" w:line="560" w:lineRule="exact"/>
        <w:rPr>
          <w:rFonts w:ascii="宋体" w:hAnsi="宋体" w:cs="宋体"/>
          <w:color w:val="auto"/>
          <w:sz w:val="24"/>
          <w:szCs w:val="24"/>
        </w:rPr>
      </w:pPr>
      <w:r>
        <w:rPr>
          <w:rFonts w:hint="eastAsia" w:ascii="宋体" w:hAnsi="宋体" w:cs="宋体"/>
          <w:color w:val="auto"/>
          <w:sz w:val="24"/>
          <w:szCs w:val="24"/>
        </w:rPr>
        <w:t>（5）中标候选供应商产生办法：按评审后得分由高到低顺序排列；得分相同的，按投标报价由低到高顺序排列。得分且投标报价相同的并列。投标文件满足招标文件全部实质性要求，且按照评审因素的量化指标评审得分最高的</w:t>
      </w:r>
      <w:r>
        <w:rPr>
          <w:rFonts w:hint="eastAsia" w:ascii="宋体" w:hAnsi="宋体" w:cs="宋体"/>
          <w:color w:val="auto"/>
          <w:sz w:val="24"/>
          <w:szCs w:val="24"/>
          <w:lang w:eastAsia="zh-CN"/>
        </w:rPr>
        <w:t>供应商</w:t>
      </w:r>
      <w:r>
        <w:rPr>
          <w:rFonts w:hint="eastAsia" w:ascii="宋体" w:hAnsi="宋体" w:cs="宋体"/>
          <w:color w:val="auto"/>
          <w:sz w:val="24"/>
          <w:szCs w:val="24"/>
        </w:rPr>
        <w:t>为排名第一的中标候选人。</w:t>
      </w:r>
    </w:p>
    <w:p>
      <w:pPr>
        <w:spacing w:after="0" w:line="560" w:lineRule="exact"/>
        <w:rPr>
          <w:rFonts w:ascii="宋体" w:hAnsi="宋体" w:cs="宋体"/>
          <w:color w:val="auto"/>
          <w:sz w:val="24"/>
          <w:szCs w:val="24"/>
        </w:rPr>
      </w:pPr>
      <w:r>
        <w:rPr>
          <w:rFonts w:hint="eastAsia" w:ascii="宋体" w:hAnsi="宋体" w:cs="宋体"/>
          <w:color w:val="auto"/>
          <w:sz w:val="24"/>
          <w:szCs w:val="24"/>
        </w:rPr>
        <w:t>（6）根据《政府采购货物和服务招标投标管理办法》（财政部令第87号）第43条规定，如评审现场经财政部门批准本项目转为其他采购方式的，按相应采购方式程序执行。</w:t>
      </w:r>
    </w:p>
    <w:p>
      <w:pPr>
        <w:spacing w:after="0" w:line="560" w:lineRule="exact"/>
        <w:rPr>
          <w:rFonts w:ascii="宋体" w:hAnsi="宋体" w:cs="宋体"/>
          <w:color w:val="auto"/>
          <w:sz w:val="24"/>
          <w:szCs w:val="24"/>
        </w:rPr>
      </w:pPr>
      <w:r>
        <w:rPr>
          <w:rFonts w:hint="eastAsia" w:ascii="宋体" w:hAnsi="宋体" w:cs="宋体"/>
          <w:color w:val="auto"/>
          <w:sz w:val="24"/>
          <w:szCs w:val="24"/>
        </w:rPr>
        <w:t>29. 其他注意事项</w:t>
      </w:r>
    </w:p>
    <w:p>
      <w:pPr>
        <w:spacing w:after="0" w:line="560" w:lineRule="exact"/>
        <w:rPr>
          <w:rFonts w:ascii="宋体" w:hAnsi="宋体" w:cs="宋体"/>
          <w:color w:val="auto"/>
          <w:sz w:val="24"/>
          <w:szCs w:val="24"/>
        </w:rPr>
      </w:pPr>
      <w:r>
        <w:rPr>
          <w:rFonts w:hint="eastAsia" w:ascii="宋体" w:hAnsi="宋体" w:cs="宋体"/>
          <w:color w:val="auto"/>
          <w:sz w:val="24"/>
          <w:szCs w:val="24"/>
        </w:rPr>
        <w:t>29.1在开标、投标期间，</w:t>
      </w:r>
      <w:r>
        <w:rPr>
          <w:rFonts w:hint="eastAsia" w:ascii="宋体" w:hAnsi="宋体" w:cs="宋体"/>
          <w:color w:val="auto"/>
          <w:sz w:val="24"/>
          <w:szCs w:val="24"/>
          <w:lang w:eastAsia="zh-CN"/>
        </w:rPr>
        <w:t>供应商</w:t>
      </w:r>
      <w:r>
        <w:rPr>
          <w:rFonts w:hint="eastAsia" w:ascii="宋体" w:hAnsi="宋体" w:cs="宋体"/>
          <w:color w:val="auto"/>
          <w:sz w:val="24"/>
          <w:szCs w:val="24"/>
        </w:rPr>
        <w:t>不得向评标委员会成员或采购代理机构询问评标情况、施加任何影响，不得进行旨在影响评标结果的活动。</w:t>
      </w:r>
    </w:p>
    <w:p>
      <w:pPr>
        <w:spacing w:after="0" w:line="560" w:lineRule="exact"/>
        <w:rPr>
          <w:rFonts w:ascii="宋体" w:hAnsi="宋体" w:cs="宋体"/>
          <w:color w:val="auto"/>
          <w:sz w:val="24"/>
          <w:szCs w:val="24"/>
        </w:rPr>
      </w:pPr>
      <w:r>
        <w:rPr>
          <w:rFonts w:hint="eastAsia" w:ascii="宋体" w:hAnsi="宋体" w:cs="宋体"/>
          <w:color w:val="auto"/>
          <w:sz w:val="24"/>
          <w:szCs w:val="24"/>
        </w:rPr>
        <w:t>29.2保证定标的公正性，在评标过程中，评标委员会成员不得与</w:t>
      </w:r>
      <w:r>
        <w:rPr>
          <w:rFonts w:hint="eastAsia" w:ascii="宋体" w:hAnsi="宋体" w:cs="宋体"/>
          <w:color w:val="auto"/>
          <w:sz w:val="24"/>
          <w:szCs w:val="24"/>
          <w:lang w:eastAsia="zh-CN"/>
        </w:rPr>
        <w:t>供应商</w:t>
      </w:r>
      <w:r>
        <w:rPr>
          <w:rFonts w:hint="eastAsia" w:ascii="宋体" w:hAnsi="宋体" w:cs="宋体"/>
          <w:color w:val="auto"/>
          <w:sz w:val="24"/>
          <w:szCs w:val="24"/>
        </w:rPr>
        <w:t>私下交换意见。在开、评标期间及招标工作结束后，凡与评标情况有接触的任何人不得透露审查、澄清、评价和比较等投标的有关资料以及授标建议等评标情况。</w:t>
      </w:r>
    </w:p>
    <w:p>
      <w:pPr>
        <w:spacing w:after="0" w:line="560" w:lineRule="exact"/>
        <w:rPr>
          <w:rFonts w:ascii="宋体" w:hAnsi="宋体" w:cs="宋体"/>
          <w:color w:val="auto"/>
          <w:sz w:val="24"/>
          <w:szCs w:val="24"/>
        </w:rPr>
      </w:pPr>
      <w:r>
        <w:rPr>
          <w:rFonts w:hint="eastAsia" w:ascii="宋体" w:hAnsi="宋体" w:cs="宋体"/>
          <w:color w:val="auto"/>
          <w:sz w:val="24"/>
          <w:szCs w:val="24"/>
        </w:rPr>
        <w:t>29. 3 本项目不接受赠品、回扣或者与采购无关的其他商品、服务。</w:t>
      </w:r>
    </w:p>
    <w:p>
      <w:pPr>
        <w:spacing w:after="0" w:line="560" w:lineRule="exact"/>
        <w:rPr>
          <w:rFonts w:ascii="宋体" w:hAnsi="宋体" w:cs="宋体"/>
          <w:color w:val="auto"/>
          <w:sz w:val="24"/>
          <w:szCs w:val="24"/>
        </w:rPr>
      </w:pPr>
      <w:r>
        <w:rPr>
          <w:rFonts w:hint="eastAsia" w:ascii="宋体" w:hAnsi="宋体" w:cs="宋体"/>
          <w:color w:val="auto"/>
          <w:sz w:val="24"/>
          <w:szCs w:val="24"/>
        </w:rPr>
        <w:t>29.4不同</w:t>
      </w:r>
      <w:r>
        <w:rPr>
          <w:rFonts w:hint="eastAsia" w:ascii="宋体" w:hAnsi="宋体" w:cs="宋体"/>
          <w:color w:val="auto"/>
          <w:sz w:val="24"/>
          <w:szCs w:val="24"/>
          <w:lang w:eastAsia="zh-CN"/>
        </w:rPr>
        <w:t>供应商</w:t>
      </w:r>
      <w:r>
        <w:rPr>
          <w:rFonts w:hint="eastAsia" w:ascii="宋体" w:hAnsi="宋体" w:cs="宋体"/>
          <w:color w:val="auto"/>
          <w:sz w:val="24"/>
          <w:szCs w:val="24"/>
        </w:rPr>
        <w:t>所投产品均为同一品牌或任一核心产品为同一品牌时，按以下原则处理：</w:t>
      </w:r>
    </w:p>
    <w:p>
      <w:pPr>
        <w:spacing w:after="0" w:line="560" w:lineRule="exact"/>
        <w:rPr>
          <w:rFonts w:ascii="宋体" w:hAnsi="宋体" w:cs="宋体"/>
          <w:color w:val="auto"/>
          <w:sz w:val="24"/>
          <w:szCs w:val="24"/>
        </w:rPr>
      </w:pPr>
      <w:r>
        <w:rPr>
          <w:rFonts w:hint="eastAsia" w:ascii="宋体" w:hAnsi="宋体" w:cs="宋体"/>
          <w:color w:val="auto"/>
          <w:sz w:val="24"/>
          <w:szCs w:val="24"/>
        </w:rPr>
        <w:t>（1）采用最低评标价法的采购项目，提供相同品牌产品的不同</w:t>
      </w:r>
      <w:r>
        <w:rPr>
          <w:rFonts w:hint="eastAsia" w:ascii="宋体" w:hAnsi="宋体" w:cs="宋体"/>
          <w:color w:val="auto"/>
          <w:sz w:val="24"/>
          <w:szCs w:val="24"/>
          <w:lang w:eastAsia="zh-CN"/>
        </w:rPr>
        <w:t>供应商</w:t>
      </w:r>
      <w:r>
        <w:rPr>
          <w:rFonts w:hint="eastAsia" w:ascii="宋体" w:hAnsi="宋体" w:cs="宋体"/>
          <w:color w:val="auto"/>
          <w:sz w:val="24"/>
          <w:szCs w:val="24"/>
        </w:rPr>
        <w:t>参加同一合同项下投标的，以其中通过资格审查、符合性审查且报价最低的参加评标；报价相同的，由采购人自行选取一个</w:t>
      </w:r>
      <w:r>
        <w:rPr>
          <w:rFonts w:hint="eastAsia" w:ascii="宋体" w:hAnsi="宋体" w:cs="宋体"/>
          <w:color w:val="auto"/>
          <w:sz w:val="24"/>
          <w:szCs w:val="24"/>
          <w:lang w:eastAsia="zh-CN"/>
        </w:rPr>
        <w:t>供应商</w:t>
      </w:r>
      <w:r>
        <w:rPr>
          <w:rFonts w:hint="eastAsia" w:ascii="宋体" w:hAnsi="宋体" w:cs="宋体"/>
          <w:color w:val="auto"/>
          <w:sz w:val="24"/>
          <w:szCs w:val="24"/>
        </w:rPr>
        <w:t>参加评标，其他投标无效。</w:t>
      </w:r>
    </w:p>
    <w:p>
      <w:pPr>
        <w:spacing w:after="0" w:line="560" w:lineRule="exact"/>
        <w:rPr>
          <w:rFonts w:ascii="宋体" w:hAnsi="宋体" w:cs="宋体"/>
          <w:color w:val="auto"/>
          <w:sz w:val="24"/>
          <w:szCs w:val="24"/>
        </w:rPr>
      </w:pPr>
      <w:r>
        <w:rPr>
          <w:rFonts w:hint="eastAsia" w:ascii="宋体" w:hAnsi="宋体" w:cs="宋体"/>
          <w:color w:val="auto"/>
          <w:sz w:val="24"/>
          <w:szCs w:val="24"/>
        </w:rPr>
        <w:t>（2）使用综合评分法的采购项目，提供相同品牌产品且通过资格审查、符合性审查的不同</w:t>
      </w:r>
      <w:r>
        <w:rPr>
          <w:rFonts w:hint="eastAsia" w:ascii="宋体" w:hAnsi="宋体" w:cs="宋体"/>
          <w:color w:val="auto"/>
          <w:sz w:val="24"/>
          <w:szCs w:val="24"/>
          <w:lang w:eastAsia="zh-CN"/>
        </w:rPr>
        <w:t>供应商</w:t>
      </w:r>
      <w:r>
        <w:rPr>
          <w:rFonts w:hint="eastAsia" w:ascii="宋体" w:hAnsi="宋体" w:cs="宋体"/>
          <w:color w:val="auto"/>
          <w:sz w:val="24"/>
          <w:szCs w:val="24"/>
        </w:rPr>
        <w:t>参加同一合同项下投标的，按一家</w:t>
      </w:r>
      <w:r>
        <w:rPr>
          <w:rFonts w:hint="eastAsia" w:ascii="宋体" w:hAnsi="宋体" w:cs="宋体"/>
          <w:color w:val="auto"/>
          <w:sz w:val="24"/>
          <w:szCs w:val="24"/>
          <w:lang w:eastAsia="zh-CN"/>
        </w:rPr>
        <w:t>供应商</w:t>
      </w:r>
      <w:r>
        <w:rPr>
          <w:rFonts w:hint="eastAsia" w:ascii="宋体" w:hAnsi="宋体" w:cs="宋体"/>
          <w:color w:val="auto"/>
          <w:sz w:val="24"/>
          <w:szCs w:val="24"/>
        </w:rPr>
        <w:t>计算，评审后得分最高的同品牌</w:t>
      </w:r>
      <w:r>
        <w:rPr>
          <w:rFonts w:hint="eastAsia" w:ascii="宋体" w:hAnsi="宋体" w:cs="宋体"/>
          <w:color w:val="auto"/>
          <w:sz w:val="24"/>
          <w:szCs w:val="24"/>
          <w:lang w:eastAsia="zh-CN"/>
        </w:rPr>
        <w:t>供应商</w:t>
      </w:r>
      <w:r>
        <w:rPr>
          <w:rFonts w:hint="eastAsia" w:ascii="宋体" w:hAnsi="宋体" w:cs="宋体"/>
          <w:color w:val="auto"/>
          <w:sz w:val="24"/>
          <w:szCs w:val="24"/>
        </w:rPr>
        <w:t>获得中标人推荐资格；评审得分相同的，由采购人自行选取一个</w:t>
      </w:r>
      <w:r>
        <w:rPr>
          <w:rFonts w:hint="eastAsia" w:ascii="宋体" w:hAnsi="宋体" w:cs="宋体"/>
          <w:color w:val="auto"/>
          <w:sz w:val="24"/>
          <w:szCs w:val="24"/>
          <w:lang w:eastAsia="zh-CN"/>
        </w:rPr>
        <w:t>供应商</w:t>
      </w:r>
      <w:r>
        <w:rPr>
          <w:rFonts w:hint="eastAsia" w:ascii="宋体" w:hAnsi="宋体" w:cs="宋体"/>
          <w:color w:val="auto"/>
          <w:sz w:val="24"/>
          <w:szCs w:val="24"/>
        </w:rPr>
        <w:t>获得中标人推荐资格，其他同品牌</w:t>
      </w:r>
      <w:r>
        <w:rPr>
          <w:rFonts w:hint="eastAsia" w:ascii="宋体" w:hAnsi="宋体" w:cs="宋体"/>
          <w:color w:val="auto"/>
          <w:sz w:val="24"/>
          <w:szCs w:val="24"/>
          <w:lang w:eastAsia="zh-CN"/>
        </w:rPr>
        <w:t>供应商</w:t>
      </w:r>
      <w:r>
        <w:rPr>
          <w:rFonts w:hint="eastAsia" w:ascii="宋体" w:hAnsi="宋体" w:cs="宋体"/>
          <w:color w:val="auto"/>
          <w:sz w:val="24"/>
          <w:szCs w:val="24"/>
        </w:rPr>
        <w:t>不作为中标候选人。</w:t>
      </w:r>
    </w:p>
    <w:p>
      <w:pPr>
        <w:spacing w:after="0" w:line="560" w:lineRule="exact"/>
        <w:jc w:val="center"/>
        <w:rPr>
          <w:rFonts w:ascii="宋体" w:hAnsi="宋体" w:cs="宋体"/>
          <w:color w:val="auto"/>
          <w:sz w:val="24"/>
          <w:szCs w:val="24"/>
        </w:rPr>
      </w:pPr>
      <w:r>
        <w:rPr>
          <w:rFonts w:hint="eastAsia" w:ascii="宋体" w:hAnsi="宋体" w:cs="宋体"/>
          <w:color w:val="auto"/>
          <w:sz w:val="24"/>
          <w:szCs w:val="24"/>
        </w:rPr>
        <w:t>E授予合同</w:t>
      </w:r>
    </w:p>
    <w:p>
      <w:pPr>
        <w:spacing w:after="0" w:line="560" w:lineRule="exact"/>
        <w:rPr>
          <w:rFonts w:ascii="宋体" w:hAnsi="宋体" w:cs="宋体"/>
          <w:color w:val="auto"/>
          <w:sz w:val="24"/>
          <w:szCs w:val="24"/>
        </w:rPr>
      </w:pPr>
      <w:r>
        <w:rPr>
          <w:rFonts w:hint="eastAsia" w:ascii="宋体" w:hAnsi="宋体" w:cs="宋体"/>
          <w:color w:val="auto"/>
          <w:sz w:val="24"/>
          <w:szCs w:val="24"/>
        </w:rPr>
        <w:t>30. 中标供应商的产生</w:t>
      </w:r>
    </w:p>
    <w:p>
      <w:pPr>
        <w:spacing w:after="0" w:line="560" w:lineRule="exact"/>
        <w:rPr>
          <w:rFonts w:ascii="宋体" w:hAnsi="宋体" w:cs="宋体"/>
          <w:color w:val="auto"/>
          <w:sz w:val="24"/>
          <w:szCs w:val="24"/>
        </w:rPr>
      </w:pPr>
      <w:r>
        <w:rPr>
          <w:rFonts w:hint="eastAsia" w:ascii="宋体" w:hAnsi="宋体" w:cs="宋体"/>
          <w:color w:val="auto"/>
          <w:sz w:val="24"/>
          <w:szCs w:val="24"/>
        </w:rPr>
        <w:t>30.1 采购人可以事先授权评标委员会直接确定中标供应商。</w:t>
      </w:r>
    </w:p>
    <w:p>
      <w:pPr>
        <w:spacing w:after="0" w:line="560" w:lineRule="exact"/>
        <w:rPr>
          <w:rFonts w:ascii="宋体" w:hAnsi="宋体" w:cs="宋体"/>
          <w:color w:val="auto"/>
          <w:sz w:val="24"/>
          <w:szCs w:val="24"/>
        </w:rPr>
      </w:pPr>
      <w:r>
        <w:rPr>
          <w:rFonts w:hint="eastAsia" w:ascii="宋体" w:hAnsi="宋体" w:cs="宋体"/>
          <w:color w:val="auto"/>
          <w:sz w:val="24"/>
          <w:szCs w:val="24"/>
        </w:rPr>
        <w:t>30.2 采购人也可以按照《政府采购法》及其实施条例等法律法规的规定和招标文件的要求确认中标供应商。</w:t>
      </w:r>
    </w:p>
    <w:p>
      <w:pPr>
        <w:spacing w:after="0" w:line="560" w:lineRule="exact"/>
        <w:rPr>
          <w:rFonts w:ascii="宋体" w:hAnsi="宋体" w:cs="宋体"/>
          <w:color w:val="auto"/>
          <w:sz w:val="24"/>
          <w:szCs w:val="24"/>
        </w:rPr>
      </w:pPr>
      <w:r>
        <w:rPr>
          <w:rFonts w:hint="eastAsia" w:ascii="宋体" w:hAnsi="宋体" w:cs="宋体"/>
          <w:color w:val="auto"/>
          <w:sz w:val="24"/>
          <w:szCs w:val="24"/>
        </w:rPr>
        <w:t>30.3 出现第一中标候选人并列情形时，由采购人自行选取一个</w:t>
      </w:r>
      <w:r>
        <w:rPr>
          <w:rFonts w:hint="eastAsia" w:ascii="宋体" w:hAnsi="宋体" w:cs="宋体"/>
          <w:color w:val="auto"/>
          <w:sz w:val="24"/>
          <w:szCs w:val="24"/>
          <w:lang w:eastAsia="zh-CN"/>
        </w:rPr>
        <w:t>供应商</w:t>
      </w:r>
      <w:r>
        <w:rPr>
          <w:rFonts w:hint="eastAsia" w:ascii="宋体" w:hAnsi="宋体" w:cs="宋体"/>
          <w:color w:val="auto"/>
          <w:sz w:val="24"/>
          <w:szCs w:val="24"/>
        </w:rPr>
        <w:t>成为中标供应商。</w:t>
      </w:r>
    </w:p>
    <w:p>
      <w:pPr>
        <w:spacing w:after="0" w:line="560" w:lineRule="exact"/>
        <w:rPr>
          <w:rFonts w:ascii="宋体" w:hAnsi="宋体" w:cs="宋体"/>
          <w:color w:val="auto"/>
          <w:sz w:val="24"/>
          <w:szCs w:val="24"/>
        </w:rPr>
      </w:pPr>
      <w:r>
        <w:rPr>
          <w:rFonts w:hint="eastAsia" w:ascii="宋体" w:hAnsi="宋体" w:cs="宋体"/>
          <w:color w:val="auto"/>
          <w:sz w:val="24"/>
          <w:szCs w:val="24"/>
        </w:rPr>
        <w:t>31. 中标通知</w:t>
      </w:r>
    </w:p>
    <w:p>
      <w:pPr>
        <w:spacing w:after="0" w:line="560" w:lineRule="exact"/>
        <w:rPr>
          <w:rFonts w:ascii="宋体" w:hAnsi="宋体" w:cs="宋体"/>
          <w:color w:val="auto"/>
          <w:sz w:val="24"/>
          <w:szCs w:val="24"/>
        </w:rPr>
      </w:pPr>
      <w:r>
        <w:rPr>
          <w:rFonts w:hint="eastAsia" w:ascii="宋体" w:hAnsi="宋体" w:cs="宋体"/>
          <w:color w:val="auto"/>
          <w:sz w:val="24"/>
          <w:szCs w:val="24"/>
        </w:rPr>
        <w:t>中标公告发布同时，天津晟辰工程造价咨询有限公司向中标供应商发出《中标通知书》。《中标通知书》一经发出即发生法律效力。</w:t>
      </w:r>
    </w:p>
    <w:p>
      <w:pPr>
        <w:spacing w:after="0" w:line="560" w:lineRule="exact"/>
        <w:rPr>
          <w:rFonts w:ascii="宋体" w:hAnsi="宋体" w:cs="宋体"/>
          <w:color w:val="auto"/>
          <w:sz w:val="24"/>
          <w:szCs w:val="24"/>
        </w:rPr>
      </w:pPr>
      <w:r>
        <w:rPr>
          <w:rFonts w:hint="eastAsia" w:ascii="宋体" w:hAnsi="宋体" w:cs="宋体"/>
          <w:color w:val="auto"/>
          <w:sz w:val="24"/>
          <w:szCs w:val="24"/>
        </w:rPr>
        <w:t>32. 签订合同</w:t>
      </w:r>
    </w:p>
    <w:p>
      <w:pPr>
        <w:spacing w:after="0" w:line="560" w:lineRule="exact"/>
        <w:rPr>
          <w:rFonts w:ascii="宋体" w:hAnsi="宋体" w:cs="宋体"/>
          <w:color w:val="auto"/>
          <w:sz w:val="24"/>
          <w:szCs w:val="24"/>
        </w:rPr>
      </w:pPr>
      <w:r>
        <w:rPr>
          <w:rFonts w:hint="eastAsia" w:ascii="宋体" w:hAnsi="宋体" w:cs="宋体"/>
          <w:color w:val="auto"/>
          <w:sz w:val="24"/>
          <w:szCs w:val="24"/>
        </w:rPr>
        <w:t>32.1 采购人与中标供应商应当在中标通知书发出之日起三十日内，按照招标文件确定的事项签订政府采购合同。</w:t>
      </w:r>
    </w:p>
    <w:p>
      <w:pPr>
        <w:spacing w:after="0" w:line="560" w:lineRule="exact"/>
        <w:rPr>
          <w:rFonts w:ascii="宋体" w:hAnsi="宋体" w:cs="宋体"/>
          <w:color w:val="auto"/>
          <w:sz w:val="24"/>
          <w:szCs w:val="24"/>
        </w:rPr>
      </w:pPr>
      <w:r>
        <w:rPr>
          <w:rFonts w:hint="eastAsia" w:ascii="宋体" w:hAnsi="宋体" w:cs="宋体"/>
          <w:color w:val="auto"/>
          <w:sz w:val="24"/>
          <w:szCs w:val="24"/>
        </w:rPr>
        <w:t>32.2 招标文件、中标供应商的投标文件及其澄清文件等，均为签订合同的依据，且为合同的组成部分。</w:t>
      </w:r>
    </w:p>
    <w:p>
      <w:pPr>
        <w:spacing w:after="0" w:line="560" w:lineRule="exact"/>
        <w:rPr>
          <w:rFonts w:ascii="宋体" w:hAnsi="宋体" w:cs="宋体"/>
          <w:color w:val="auto"/>
          <w:sz w:val="24"/>
          <w:szCs w:val="24"/>
        </w:rPr>
      </w:pPr>
      <w:r>
        <w:rPr>
          <w:rFonts w:hint="eastAsia" w:ascii="宋体" w:hAnsi="宋体" w:cs="宋体"/>
          <w:color w:val="auto"/>
          <w:sz w:val="24"/>
          <w:szCs w:val="24"/>
        </w:rPr>
        <w:t>33. 履约保证金</w:t>
      </w:r>
    </w:p>
    <w:p>
      <w:pPr>
        <w:spacing w:after="0" w:line="560" w:lineRule="exact"/>
        <w:rPr>
          <w:rFonts w:ascii="宋体" w:hAnsi="宋体" w:cs="宋体"/>
          <w:color w:val="auto"/>
          <w:sz w:val="24"/>
          <w:szCs w:val="24"/>
        </w:rPr>
      </w:pPr>
      <w:r>
        <w:rPr>
          <w:rFonts w:hint="eastAsia" w:ascii="宋体" w:hAnsi="宋体" w:cs="宋体"/>
          <w:color w:val="auto"/>
          <w:sz w:val="24"/>
          <w:szCs w:val="24"/>
        </w:rPr>
        <w:t>33.1 若《招标项目要求》规定须提交履约保证金的，合同签订前，中标供应商须按照规定要求提交履约保证金，履约保证金的有效期至货到并最终验收合格之日。</w:t>
      </w:r>
    </w:p>
    <w:p>
      <w:pPr>
        <w:spacing w:after="0" w:line="560" w:lineRule="exact"/>
        <w:rPr>
          <w:rFonts w:ascii="宋体" w:hAnsi="宋体" w:cs="宋体"/>
          <w:color w:val="auto"/>
          <w:sz w:val="24"/>
          <w:szCs w:val="24"/>
        </w:rPr>
      </w:pPr>
      <w:r>
        <w:rPr>
          <w:rFonts w:hint="eastAsia" w:ascii="宋体" w:hAnsi="宋体" w:cs="宋体"/>
          <w:color w:val="auto"/>
          <w:sz w:val="24"/>
          <w:szCs w:val="24"/>
        </w:rPr>
        <w:t>33.2中标供应商未能按合同规定履行其义务，采购人有权没收履约保证金。</w:t>
      </w:r>
    </w:p>
    <w:p>
      <w:pPr>
        <w:spacing w:after="0" w:line="560" w:lineRule="exact"/>
        <w:rPr>
          <w:rFonts w:ascii="宋体" w:hAnsi="宋体" w:cs="宋体"/>
          <w:color w:val="auto"/>
          <w:sz w:val="24"/>
          <w:szCs w:val="24"/>
        </w:rPr>
      </w:pPr>
      <w:r>
        <w:rPr>
          <w:rFonts w:hint="eastAsia" w:ascii="宋体" w:hAnsi="宋体" w:cs="宋体"/>
          <w:color w:val="auto"/>
          <w:sz w:val="24"/>
          <w:szCs w:val="24"/>
        </w:rPr>
        <w:t>34. 中标供应商拒绝与采购人签订合同的，采购人可以按照评审报告推荐的中标候选人名单排序，确定下一候选人为中标供应商，也可以重新开展政府采购活动。</w:t>
      </w:r>
    </w:p>
    <w:p>
      <w:pPr>
        <w:spacing w:after="0" w:line="560" w:lineRule="exact"/>
        <w:rPr>
          <w:rFonts w:ascii="宋体" w:hAnsi="宋体" w:cs="宋体"/>
          <w:color w:val="auto"/>
          <w:sz w:val="24"/>
          <w:szCs w:val="24"/>
        </w:rPr>
      </w:pPr>
      <w:r>
        <w:rPr>
          <w:rFonts w:hint="eastAsia" w:ascii="宋体" w:hAnsi="宋体" w:cs="宋体"/>
          <w:color w:val="auto"/>
          <w:sz w:val="24"/>
          <w:szCs w:val="24"/>
        </w:rPr>
        <w:t>35. 合同分包</w:t>
      </w:r>
    </w:p>
    <w:p>
      <w:pPr>
        <w:spacing w:after="0" w:line="560" w:lineRule="exact"/>
        <w:rPr>
          <w:rFonts w:ascii="宋体" w:hAnsi="宋体" w:cs="宋体"/>
          <w:color w:val="auto"/>
          <w:sz w:val="24"/>
          <w:szCs w:val="24"/>
        </w:rPr>
      </w:pPr>
      <w:r>
        <w:rPr>
          <w:rFonts w:hint="eastAsia" w:ascii="宋体" w:hAnsi="宋体" w:cs="宋体"/>
          <w:color w:val="auto"/>
          <w:sz w:val="24"/>
          <w:szCs w:val="24"/>
        </w:rPr>
        <w:t>35.1 未经采购人同意，中标供应商不得分包合同。</w:t>
      </w:r>
    </w:p>
    <w:p>
      <w:pPr>
        <w:spacing w:after="0" w:line="560" w:lineRule="exact"/>
        <w:ind w:right="31" w:rightChars="15"/>
        <w:rPr>
          <w:rFonts w:ascii="宋体" w:hAnsi="宋体" w:cs="宋体"/>
          <w:color w:val="auto"/>
          <w:sz w:val="24"/>
          <w:szCs w:val="24"/>
        </w:rPr>
      </w:pPr>
      <w:r>
        <w:rPr>
          <w:rFonts w:hint="eastAsia" w:ascii="宋体" w:hAnsi="宋体" w:cs="宋体"/>
          <w:color w:val="auto"/>
          <w:sz w:val="24"/>
          <w:szCs w:val="24"/>
        </w:rPr>
        <w:t>35.2 政府采购合同分包履行的，中标供应商就采购项目和分包项目向采购人负责，分包供应商就分包项目承担责任。</w:t>
      </w:r>
      <w:bookmarkStart w:id="13" w:name="_Toc521247252"/>
    </w:p>
    <w:p>
      <w:pPr>
        <w:spacing w:after="0" w:line="560" w:lineRule="exact"/>
        <w:ind w:right="31" w:rightChars="15"/>
        <w:jc w:val="center"/>
        <w:rPr>
          <w:rFonts w:hint="eastAsia" w:ascii="宋体" w:hAnsi="宋体" w:cs="宋体"/>
          <w:b/>
          <w:color w:val="auto"/>
          <w:sz w:val="30"/>
          <w:szCs w:val="30"/>
        </w:rPr>
      </w:pPr>
    </w:p>
    <w:p>
      <w:pPr>
        <w:spacing w:after="0" w:line="560" w:lineRule="exact"/>
        <w:ind w:right="31" w:rightChars="15"/>
        <w:jc w:val="center"/>
        <w:rPr>
          <w:rFonts w:hint="eastAsia" w:ascii="宋体" w:hAnsi="宋体" w:cs="宋体"/>
          <w:b/>
          <w:color w:val="auto"/>
          <w:sz w:val="30"/>
          <w:szCs w:val="30"/>
        </w:rPr>
      </w:pPr>
    </w:p>
    <w:p>
      <w:pPr>
        <w:spacing w:after="0" w:line="560" w:lineRule="exact"/>
        <w:ind w:right="31" w:rightChars="15"/>
        <w:jc w:val="center"/>
        <w:rPr>
          <w:rFonts w:hint="eastAsia" w:ascii="宋体" w:hAnsi="宋体" w:cs="宋体"/>
          <w:b/>
          <w:color w:val="auto"/>
          <w:sz w:val="30"/>
          <w:szCs w:val="30"/>
        </w:rPr>
      </w:pPr>
    </w:p>
    <w:p>
      <w:pPr>
        <w:spacing w:after="0" w:line="560" w:lineRule="exact"/>
        <w:ind w:right="31" w:rightChars="15"/>
        <w:jc w:val="center"/>
        <w:rPr>
          <w:rFonts w:hint="eastAsia" w:ascii="宋体" w:hAnsi="宋体" w:cs="宋体"/>
          <w:b/>
          <w:color w:val="auto"/>
          <w:sz w:val="30"/>
          <w:szCs w:val="30"/>
        </w:rPr>
      </w:pPr>
    </w:p>
    <w:p>
      <w:pPr>
        <w:spacing w:after="0" w:line="560" w:lineRule="exact"/>
        <w:ind w:right="31" w:rightChars="15"/>
        <w:jc w:val="center"/>
        <w:rPr>
          <w:rFonts w:hint="eastAsia" w:ascii="宋体" w:hAnsi="宋体" w:cs="宋体"/>
          <w:b/>
          <w:color w:val="auto"/>
          <w:sz w:val="30"/>
          <w:szCs w:val="30"/>
        </w:rPr>
      </w:pPr>
    </w:p>
    <w:p>
      <w:pPr>
        <w:spacing w:after="0" w:line="560" w:lineRule="exact"/>
        <w:ind w:right="31" w:rightChars="15"/>
        <w:jc w:val="center"/>
        <w:rPr>
          <w:rFonts w:hint="eastAsia" w:ascii="宋体" w:hAnsi="宋体" w:cs="宋体"/>
          <w:b/>
          <w:color w:val="auto"/>
          <w:sz w:val="30"/>
          <w:szCs w:val="30"/>
        </w:rPr>
      </w:pPr>
    </w:p>
    <w:p>
      <w:pPr>
        <w:spacing w:after="0" w:line="560" w:lineRule="exact"/>
        <w:ind w:right="31" w:rightChars="15"/>
        <w:jc w:val="center"/>
        <w:rPr>
          <w:rFonts w:hint="eastAsia" w:ascii="宋体" w:hAnsi="宋体" w:cs="宋体"/>
          <w:b/>
          <w:color w:val="auto"/>
          <w:sz w:val="30"/>
          <w:szCs w:val="30"/>
        </w:rPr>
      </w:pPr>
    </w:p>
    <w:p>
      <w:pPr>
        <w:pStyle w:val="2"/>
        <w:rPr>
          <w:rFonts w:hint="eastAsia" w:ascii="宋体" w:hAnsi="宋体" w:cs="宋体"/>
          <w:b/>
          <w:color w:val="auto"/>
          <w:sz w:val="30"/>
          <w:szCs w:val="30"/>
        </w:rPr>
      </w:pPr>
    </w:p>
    <w:p>
      <w:pPr>
        <w:rPr>
          <w:rFonts w:hint="eastAsia" w:ascii="宋体" w:hAnsi="宋体" w:cs="宋体"/>
          <w:b/>
          <w:color w:val="auto"/>
          <w:sz w:val="30"/>
          <w:szCs w:val="30"/>
        </w:rPr>
      </w:pPr>
    </w:p>
    <w:p>
      <w:pPr>
        <w:pStyle w:val="2"/>
        <w:rPr>
          <w:rFonts w:hint="eastAsia" w:ascii="宋体" w:hAnsi="宋体" w:cs="宋体"/>
          <w:b/>
          <w:color w:val="auto"/>
          <w:sz w:val="30"/>
          <w:szCs w:val="30"/>
        </w:rPr>
      </w:pPr>
    </w:p>
    <w:p>
      <w:pPr>
        <w:rPr>
          <w:rFonts w:hint="eastAsia"/>
          <w:color w:val="auto"/>
        </w:rPr>
      </w:pPr>
    </w:p>
    <w:p>
      <w:pPr>
        <w:spacing w:after="0" w:line="560" w:lineRule="exact"/>
        <w:ind w:right="31" w:rightChars="15"/>
        <w:jc w:val="center"/>
        <w:rPr>
          <w:rFonts w:hint="eastAsia" w:ascii="宋体" w:hAnsi="宋体" w:cs="宋体"/>
          <w:b/>
          <w:color w:val="auto"/>
          <w:sz w:val="30"/>
          <w:szCs w:val="30"/>
        </w:rPr>
      </w:pPr>
    </w:p>
    <w:p>
      <w:pPr>
        <w:spacing w:after="0" w:line="560" w:lineRule="exact"/>
        <w:ind w:right="31" w:rightChars="15"/>
        <w:jc w:val="center"/>
        <w:rPr>
          <w:rFonts w:hint="eastAsia" w:ascii="宋体" w:hAnsi="宋体" w:cs="宋体"/>
          <w:b/>
          <w:color w:val="auto"/>
          <w:sz w:val="30"/>
          <w:szCs w:val="30"/>
        </w:rPr>
      </w:pPr>
    </w:p>
    <w:p>
      <w:pPr>
        <w:spacing w:after="0" w:line="560" w:lineRule="exact"/>
        <w:ind w:right="31" w:rightChars="15"/>
        <w:jc w:val="center"/>
        <w:rPr>
          <w:rFonts w:hint="eastAsia" w:ascii="宋体" w:hAnsi="宋体" w:cs="宋体"/>
          <w:b/>
          <w:color w:val="auto"/>
          <w:sz w:val="30"/>
          <w:szCs w:val="30"/>
        </w:rPr>
      </w:pPr>
    </w:p>
    <w:p>
      <w:pPr>
        <w:spacing w:after="0" w:line="560" w:lineRule="exact"/>
        <w:ind w:right="31" w:rightChars="15"/>
        <w:jc w:val="center"/>
        <w:rPr>
          <w:rFonts w:ascii="宋体" w:hAnsi="宋体" w:cs="宋体"/>
          <w:color w:val="auto"/>
          <w:sz w:val="30"/>
          <w:szCs w:val="30"/>
        </w:rPr>
      </w:pPr>
      <w:r>
        <w:rPr>
          <w:rFonts w:hint="eastAsia" w:ascii="宋体" w:hAnsi="宋体" w:cs="宋体"/>
          <w:b/>
          <w:color w:val="auto"/>
          <w:sz w:val="30"/>
          <w:szCs w:val="30"/>
        </w:rPr>
        <w:t>第四部分 合同条款</w:t>
      </w:r>
      <w:bookmarkEnd w:id="13"/>
    </w:p>
    <w:p>
      <w:pPr>
        <w:spacing w:after="0" w:line="520" w:lineRule="exact"/>
        <w:jc w:val="center"/>
        <w:rPr>
          <w:rFonts w:ascii="宋体" w:hAnsi="宋体" w:cs="宋体"/>
          <w:b/>
          <w:color w:val="auto"/>
          <w:sz w:val="28"/>
          <w:szCs w:val="28"/>
        </w:rPr>
      </w:pPr>
      <w:r>
        <w:rPr>
          <w:rFonts w:hint="eastAsia" w:ascii="宋体" w:hAnsi="宋体" w:cs="宋体"/>
          <w:b/>
          <w:color w:val="auto"/>
          <w:sz w:val="28"/>
          <w:szCs w:val="28"/>
        </w:rPr>
        <w:t>本合同仅供参考，实际合同签订以采购人制定合同为准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需方：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供方：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rFonts w:hint="eastAsia"/>
          <w:color w:val="auto"/>
          <w:sz w:val="24"/>
        </w:rPr>
      </w:pPr>
      <w:r>
        <w:rPr>
          <w:rFonts w:hint="eastAsia"/>
          <w:color w:val="auto"/>
          <w:sz w:val="24"/>
          <w:lang w:eastAsia="zh-CN"/>
        </w:rPr>
        <w:t>外贸</w:t>
      </w:r>
      <w:r>
        <w:rPr>
          <w:color w:val="auto"/>
          <w:sz w:val="24"/>
        </w:rPr>
        <w:t>代理：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供、需双方根据*年*月*日***</w:t>
      </w:r>
      <w:r>
        <w:rPr>
          <w:rFonts w:hint="eastAsia"/>
          <w:color w:val="auto"/>
          <w:sz w:val="24"/>
          <w:lang w:eastAsia="zh-CN"/>
        </w:rPr>
        <w:t>（招标代理机构）</w:t>
      </w:r>
      <w:r>
        <w:rPr>
          <w:rFonts w:hint="eastAsia"/>
          <w:color w:val="auto"/>
          <w:sz w:val="24"/>
        </w:rPr>
        <w:t>关于***项目（项目编号：*** ）的招标结果和招标文件的要求，并经双方协商一致，达成货物购销合同：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一、</w:t>
      </w:r>
      <w:r>
        <w:rPr>
          <w:rFonts w:hint="eastAsia"/>
          <w:color w:val="auto"/>
          <w:sz w:val="24"/>
          <w:lang w:eastAsia="zh-CN"/>
        </w:rPr>
        <w:t>合同金额</w:t>
      </w:r>
      <w:r>
        <w:rPr>
          <w:rFonts w:hint="eastAsia"/>
          <w:color w:val="auto"/>
          <w:sz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rFonts w:hint="eastAsia" w:eastAsia="宋体"/>
          <w:color w:val="auto"/>
          <w:sz w:val="24"/>
          <w:lang w:val="en-US" w:eastAsia="zh-CN"/>
        </w:rPr>
      </w:pPr>
      <w:r>
        <w:rPr>
          <w:rFonts w:hint="eastAsia"/>
          <w:color w:val="auto"/>
          <w:sz w:val="24"/>
        </w:rPr>
        <w:t>货物总价款：</w:t>
      </w:r>
      <w:r>
        <w:rPr>
          <w:rFonts w:hint="eastAsia"/>
          <w:color w:val="auto"/>
          <w:sz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rFonts w:hint="eastAsia"/>
          <w:color w:val="auto"/>
          <w:sz w:val="24"/>
        </w:rPr>
      </w:pPr>
      <w:r>
        <w:rPr>
          <w:rFonts w:hint="eastAsia"/>
          <w:color w:val="auto"/>
          <w:sz w:val="24"/>
        </w:rPr>
        <w:t>大写：</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二、货物质量要求及供方对质量负责条件和期限：</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1. 货物具体技术指标见附件。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2. 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3.供方对所提供的货物提供</w:t>
      </w:r>
      <w:r>
        <w:rPr>
          <w:rFonts w:hint="eastAsia"/>
          <w:color w:val="auto"/>
          <w:sz w:val="24"/>
          <w:lang w:val="en-US" w:eastAsia="zh-CN"/>
        </w:rPr>
        <w:t>____</w:t>
      </w:r>
      <w:r>
        <w:rPr>
          <w:rFonts w:hint="eastAsia"/>
          <w:color w:val="auto"/>
          <w:sz w:val="24"/>
        </w:rPr>
        <w:t>年免费维修保质期，并负责终身维护。保质期内非因需方的人为因素而出现的质量问题，由供方负责。供方负责保修、包换或者包退，并承担修理、调换或退货以及由此给需方造成的实际费用。供方不能修理和不能调换，按不能交货处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三、供方所提供的货物必须具有合法手续及相关文件。如涉及知识产权则必须是自己拥有或合法使用的。</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四、交货时间、地点、方式：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合同签订后，于</w:t>
      </w:r>
      <w:r>
        <w:rPr>
          <w:rFonts w:hint="eastAsia"/>
          <w:color w:val="auto"/>
          <w:sz w:val="24"/>
          <w:lang w:val="en-US" w:eastAsia="zh-CN"/>
        </w:rPr>
        <w:t xml:space="preserve">  </w:t>
      </w:r>
      <w:r>
        <w:rPr>
          <w:rFonts w:hint="eastAsia"/>
          <w:color w:val="auto"/>
          <w:sz w:val="24"/>
        </w:rPr>
        <w:t>年</w:t>
      </w:r>
      <w:r>
        <w:rPr>
          <w:rFonts w:hint="eastAsia"/>
          <w:color w:val="auto"/>
          <w:sz w:val="24"/>
          <w:lang w:val="en-US" w:eastAsia="zh-CN"/>
        </w:rPr>
        <w:t xml:space="preserve">  </w:t>
      </w:r>
      <w:r>
        <w:rPr>
          <w:rFonts w:hint="eastAsia"/>
          <w:color w:val="auto"/>
          <w:sz w:val="24"/>
        </w:rPr>
        <w:t>月</w:t>
      </w:r>
      <w:r>
        <w:rPr>
          <w:rFonts w:hint="eastAsia"/>
          <w:color w:val="auto"/>
          <w:sz w:val="24"/>
          <w:lang w:val="en-US" w:eastAsia="zh-CN"/>
        </w:rPr>
        <w:t xml:space="preserve">  </w:t>
      </w:r>
      <w:r>
        <w:rPr>
          <w:rFonts w:hint="eastAsia"/>
          <w:color w:val="auto"/>
          <w:sz w:val="24"/>
        </w:rPr>
        <w:t>日之前将所供货物在需方或需方指定处交付（具体地点：</w:t>
      </w:r>
      <w:r>
        <w:rPr>
          <w:rFonts w:hint="eastAsia"/>
          <w:color w:val="auto"/>
          <w:sz w:val="24"/>
          <w:lang w:val="en-US" w:eastAsia="zh-CN"/>
        </w:rPr>
        <w:t xml:space="preserve">    </w:t>
      </w:r>
      <w:r>
        <w:rPr>
          <w:rFonts w:hint="eastAsia"/>
          <w:color w:val="auto"/>
          <w:sz w:val="24"/>
        </w:rPr>
        <w:t>），并于年月日之前完成安装、调试工作，货物运送产生的费用由供方负责。</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五、供方应随货物向需方交付货物的使用说明书及与货物相关的资料。如果所提交文件是外文的，供方有义务为需方提供中文或译成中文文件。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六、验收工作由需方负责对货物进行验收。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七、货款支付方式：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1. 本合同以人民币进行结算</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2. 付款方式：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需方在合同签订后15个工作日内将设备全款汇入外贸代理公司指定银行，由外贸代理公司对外开具100%不可撤销跟单信用证。外贸代理公司见</w:t>
      </w:r>
      <w:r>
        <w:rPr>
          <w:rFonts w:hint="eastAsia"/>
          <w:color w:val="auto"/>
          <w:sz w:val="24"/>
          <w:lang w:eastAsia="zh-CN"/>
        </w:rPr>
        <w:t>供方</w:t>
      </w:r>
      <w:r>
        <w:rPr>
          <w:rFonts w:hint="eastAsia"/>
          <w:color w:val="auto"/>
          <w:sz w:val="24"/>
        </w:rPr>
        <w:t>发货单即付90%的货款，余款10%于货到</w:t>
      </w:r>
      <w:r>
        <w:rPr>
          <w:rFonts w:hint="eastAsia"/>
          <w:color w:val="auto"/>
          <w:sz w:val="24"/>
          <w:lang w:eastAsia="zh-CN"/>
        </w:rPr>
        <w:t>需方</w:t>
      </w:r>
      <w:r>
        <w:rPr>
          <w:rFonts w:hint="eastAsia"/>
          <w:color w:val="auto"/>
          <w:sz w:val="24"/>
        </w:rPr>
        <w:t>指定地点后，安装调试并验收合格后15个工作日内由外贸代理公司给付</w:t>
      </w:r>
      <w:r>
        <w:rPr>
          <w:rFonts w:hint="eastAsia"/>
          <w:color w:val="auto"/>
          <w:sz w:val="24"/>
          <w:lang w:eastAsia="zh-CN"/>
        </w:rPr>
        <w:t>供方</w:t>
      </w:r>
      <w:r>
        <w:rPr>
          <w:rFonts w:hint="eastAsia"/>
          <w:color w:val="auto"/>
          <w:sz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3. 如所供货物出现质量问题，需方在付款期内随时有权停止付款，待供方对该货物消除障碍正常运转后再行付款。付款的时间则相应顺延。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八、违约责任：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需方无正当理由拒收货物的，需方向供方偿付货款总值30%的违约金。</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需方逾期支付货款的，需方向供方每日偿付欠款总额5‰的违约金。</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供方所交的货物品种、型号、规格、产地及制造商、质量不符合合同规定标准的，需方有权拒收，供方向需方偿付货款总值30%的违约金。</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供方不能交付货物的，供方向需方支付货款总值30%的违约金。</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供方逾期交付货物的，供方向需方每日偿付货款总额5</w:t>
      </w:r>
      <w:r>
        <w:rPr>
          <w:color w:val="auto"/>
          <w:sz w:val="24"/>
        </w:rPr>
        <w:t>‰</w:t>
      </w:r>
      <w:r>
        <w:rPr>
          <w:rFonts w:hint="eastAsia"/>
          <w:color w:val="auto"/>
          <w:sz w:val="24"/>
        </w:rPr>
        <w:t>的违约金。</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九、因货物的质量问题发生争议，依据国家标准，由天津市市场监督管理委员会或其指定的技术单位进行质量鉴定，该鉴定结论是终局的，供需双方应当接受，质量鉴定期间所发生的相关费用由货物质量责任方承担。</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十、由于供需双方在履行本合同过程中出现问题，由供需双方直接交涉解决，包括采用诉诸法律的手段。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十一、有关涉及本合同供方向</w:t>
      </w:r>
      <w:r>
        <w:rPr>
          <w:rFonts w:hint="eastAsia"/>
          <w:color w:val="auto"/>
          <w:sz w:val="24"/>
          <w:lang w:eastAsia="zh-CN"/>
        </w:rPr>
        <w:t>招标代理机构</w:t>
      </w:r>
      <w:r>
        <w:rPr>
          <w:rFonts w:hint="eastAsia"/>
          <w:color w:val="auto"/>
          <w:sz w:val="24"/>
        </w:rPr>
        <w:t>所提交的投标文件及有关澄清资料和服务承诺均视为本合同不可分割的部分，对供方具有约束力。</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十二、本合同未作明示约定，而又有相关法律、法规规定的，从其规定。本合同发生争议产生的诉讼，由合同履行所在地人民法院管辖。</w:t>
      </w:r>
    </w:p>
    <w:p>
      <w:pPr>
        <w:keepNext w:val="0"/>
        <w:keepLines w:val="0"/>
        <w:pageBreakBefore w:val="0"/>
        <w:widowControl w:val="0"/>
        <w:kinsoku/>
        <w:wordWrap/>
        <w:overflowPunct/>
        <w:topLinePunct w:val="0"/>
        <w:autoSpaceDE w:val="0"/>
        <w:autoSpaceDN w:val="0"/>
        <w:bidi w:val="0"/>
        <w:adjustRightInd w:val="0"/>
        <w:snapToGrid/>
        <w:spacing w:line="360" w:lineRule="auto"/>
        <w:ind w:firstLine="456" w:firstLineChars="200"/>
        <w:textAlignment w:val="auto"/>
        <w:rPr>
          <w:color w:val="auto"/>
          <w:sz w:val="24"/>
        </w:rPr>
      </w:pPr>
      <w:r>
        <w:rPr>
          <w:rFonts w:hint="eastAsia"/>
          <w:color w:val="auto"/>
          <w:sz w:val="24"/>
        </w:rPr>
        <w:t>十三、本合同一式</w:t>
      </w:r>
      <w:r>
        <w:rPr>
          <w:rFonts w:hint="eastAsia"/>
          <w:color w:val="auto"/>
          <w:sz w:val="24"/>
          <w:lang w:eastAsia="zh-CN"/>
        </w:rPr>
        <w:t>六</w:t>
      </w:r>
      <w:r>
        <w:rPr>
          <w:rFonts w:hint="eastAsia"/>
          <w:color w:val="auto"/>
          <w:sz w:val="24"/>
        </w:rPr>
        <w:t>份，供方持</w:t>
      </w:r>
      <w:r>
        <w:rPr>
          <w:rFonts w:hint="eastAsia"/>
          <w:color w:val="auto"/>
          <w:sz w:val="24"/>
          <w:lang w:eastAsia="zh-CN"/>
        </w:rPr>
        <w:t>二</w:t>
      </w:r>
      <w:r>
        <w:rPr>
          <w:rFonts w:hint="eastAsia"/>
          <w:color w:val="auto"/>
          <w:sz w:val="24"/>
        </w:rPr>
        <w:t>份，需方持</w:t>
      </w:r>
      <w:r>
        <w:rPr>
          <w:rFonts w:hint="eastAsia"/>
          <w:color w:val="auto"/>
          <w:sz w:val="24"/>
          <w:lang w:eastAsia="zh-CN"/>
        </w:rPr>
        <w:t>三</w:t>
      </w:r>
      <w:r>
        <w:rPr>
          <w:rFonts w:hint="eastAsia"/>
          <w:color w:val="auto"/>
          <w:sz w:val="24"/>
        </w:rPr>
        <w:t>份</w:t>
      </w:r>
      <w:r>
        <w:rPr>
          <w:rFonts w:hint="eastAsia"/>
          <w:color w:val="auto"/>
          <w:sz w:val="24"/>
          <w:lang w:eastAsia="zh-CN"/>
        </w:rPr>
        <w:t>，外贸代理公司持一</w:t>
      </w:r>
      <w:r>
        <w:rPr>
          <w:rFonts w:hint="eastAsia"/>
          <w:color w:val="auto"/>
          <w:sz w:val="24"/>
          <w:lang w:val="en-US" w:eastAsia="zh-CN"/>
        </w:rPr>
        <w:t>份</w:t>
      </w:r>
      <w:r>
        <w:rPr>
          <w:rFonts w:hint="eastAsia"/>
          <w:color w:val="auto"/>
          <w:sz w:val="24"/>
        </w:rPr>
        <w:t>，均具同等效力，签字盖章后生效。</w:t>
      </w:r>
    </w:p>
    <w:p>
      <w:pPr>
        <w:autoSpaceDE w:val="0"/>
        <w:autoSpaceDN w:val="0"/>
        <w:adjustRightInd w:val="0"/>
        <w:spacing w:line="360" w:lineRule="auto"/>
        <w:ind w:firstLine="456" w:firstLineChars="200"/>
        <w:rPr>
          <w:color w:val="auto"/>
          <w:sz w:val="24"/>
        </w:rPr>
      </w:pPr>
      <w:r>
        <w:rPr>
          <w:rFonts w:hint="eastAsia"/>
          <w:color w:val="auto"/>
          <w:sz w:val="24"/>
        </w:rPr>
        <w:t xml:space="preserve">供方（公章）： </w:t>
      </w:r>
      <w:r>
        <w:rPr>
          <w:color w:val="auto"/>
          <w:sz w:val="24"/>
        </w:rPr>
        <w:t xml:space="preserve">                                 </w:t>
      </w:r>
      <w:r>
        <w:rPr>
          <w:rFonts w:hint="eastAsia"/>
          <w:color w:val="auto"/>
          <w:sz w:val="24"/>
        </w:rPr>
        <w:t>需方（公章）：</w:t>
      </w:r>
    </w:p>
    <w:p>
      <w:pPr>
        <w:autoSpaceDE w:val="0"/>
        <w:autoSpaceDN w:val="0"/>
        <w:adjustRightInd w:val="0"/>
        <w:spacing w:line="360" w:lineRule="auto"/>
        <w:ind w:firstLine="456" w:firstLineChars="200"/>
        <w:rPr>
          <w:color w:val="auto"/>
          <w:sz w:val="24"/>
        </w:rPr>
      </w:pPr>
      <w:r>
        <w:rPr>
          <w:rFonts w:hint="eastAsia"/>
          <w:color w:val="auto"/>
          <w:sz w:val="24"/>
        </w:rPr>
        <w:t xml:space="preserve">地址： </w:t>
      </w:r>
      <w:r>
        <w:rPr>
          <w:color w:val="auto"/>
          <w:sz w:val="24"/>
        </w:rPr>
        <w:t xml:space="preserve">                                        </w:t>
      </w:r>
      <w:r>
        <w:rPr>
          <w:rFonts w:hint="eastAsia"/>
          <w:color w:val="auto"/>
          <w:sz w:val="24"/>
        </w:rPr>
        <w:t>地址：</w:t>
      </w:r>
    </w:p>
    <w:p>
      <w:pPr>
        <w:autoSpaceDE w:val="0"/>
        <w:autoSpaceDN w:val="0"/>
        <w:adjustRightInd w:val="0"/>
        <w:spacing w:line="360" w:lineRule="auto"/>
        <w:ind w:firstLine="456" w:firstLineChars="200"/>
        <w:rPr>
          <w:color w:val="auto"/>
          <w:sz w:val="24"/>
        </w:rPr>
      </w:pPr>
      <w:r>
        <w:rPr>
          <w:rFonts w:hint="eastAsia"/>
          <w:color w:val="auto"/>
          <w:sz w:val="24"/>
        </w:rPr>
        <w:t xml:space="preserve">法定代表人： </w:t>
      </w:r>
      <w:r>
        <w:rPr>
          <w:color w:val="auto"/>
          <w:sz w:val="24"/>
        </w:rPr>
        <w:t xml:space="preserve">                                  </w:t>
      </w:r>
      <w:r>
        <w:rPr>
          <w:rFonts w:hint="eastAsia"/>
          <w:color w:val="auto"/>
          <w:sz w:val="24"/>
        </w:rPr>
        <w:t>法定代表人：</w:t>
      </w:r>
    </w:p>
    <w:p>
      <w:pPr>
        <w:autoSpaceDE w:val="0"/>
        <w:autoSpaceDN w:val="0"/>
        <w:adjustRightInd w:val="0"/>
        <w:spacing w:line="360" w:lineRule="auto"/>
        <w:ind w:firstLine="456" w:firstLineChars="200"/>
        <w:rPr>
          <w:color w:val="auto"/>
          <w:sz w:val="24"/>
        </w:rPr>
      </w:pPr>
      <w:r>
        <w:rPr>
          <w:rFonts w:hint="eastAsia"/>
          <w:color w:val="auto"/>
          <w:sz w:val="24"/>
        </w:rPr>
        <w:t xml:space="preserve">委托代理人： </w:t>
      </w:r>
      <w:r>
        <w:rPr>
          <w:color w:val="auto"/>
          <w:sz w:val="24"/>
        </w:rPr>
        <w:t xml:space="preserve">                                  </w:t>
      </w:r>
      <w:r>
        <w:rPr>
          <w:rFonts w:hint="eastAsia"/>
          <w:color w:val="auto"/>
          <w:sz w:val="24"/>
        </w:rPr>
        <w:t>委托代理人：</w:t>
      </w:r>
    </w:p>
    <w:p>
      <w:pPr>
        <w:autoSpaceDE w:val="0"/>
        <w:autoSpaceDN w:val="0"/>
        <w:adjustRightInd w:val="0"/>
        <w:spacing w:line="360" w:lineRule="auto"/>
        <w:ind w:firstLine="456" w:firstLineChars="200"/>
        <w:rPr>
          <w:color w:val="auto"/>
          <w:sz w:val="24"/>
        </w:rPr>
      </w:pPr>
      <w:r>
        <w:rPr>
          <w:rFonts w:hint="eastAsia"/>
          <w:color w:val="auto"/>
          <w:sz w:val="24"/>
        </w:rPr>
        <w:t xml:space="preserve">电话： </w:t>
      </w:r>
      <w:r>
        <w:rPr>
          <w:color w:val="auto"/>
          <w:sz w:val="24"/>
        </w:rPr>
        <w:t xml:space="preserve">                                        </w:t>
      </w:r>
      <w:r>
        <w:rPr>
          <w:rFonts w:hint="eastAsia"/>
          <w:color w:val="auto"/>
          <w:sz w:val="24"/>
        </w:rPr>
        <w:t>电话：</w:t>
      </w:r>
    </w:p>
    <w:p>
      <w:pPr>
        <w:autoSpaceDE w:val="0"/>
        <w:autoSpaceDN w:val="0"/>
        <w:adjustRightInd w:val="0"/>
        <w:spacing w:line="360" w:lineRule="auto"/>
        <w:ind w:firstLine="456" w:firstLineChars="200"/>
        <w:rPr>
          <w:color w:val="auto"/>
          <w:sz w:val="24"/>
        </w:rPr>
      </w:pPr>
    </w:p>
    <w:p>
      <w:pPr>
        <w:spacing w:line="360" w:lineRule="auto"/>
        <w:ind w:firstLine="456" w:firstLineChars="200"/>
        <w:rPr>
          <w:color w:val="auto"/>
          <w:sz w:val="24"/>
          <w:szCs w:val="24"/>
        </w:rPr>
      </w:pPr>
      <w:r>
        <w:rPr>
          <w:rFonts w:hint="eastAsia"/>
          <w:color w:val="auto"/>
          <w:sz w:val="24"/>
          <w:szCs w:val="24"/>
          <w:lang w:eastAsia="zh-CN"/>
        </w:rPr>
        <w:t>外贸</w:t>
      </w:r>
      <w:r>
        <w:rPr>
          <w:rFonts w:hint="eastAsia"/>
          <w:color w:val="auto"/>
          <w:sz w:val="24"/>
          <w:szCs w:val="24"/>
        </w:rPr>
        <w:t>代理：（公章）：</w:t>
      </w:r>
    </w:p>
    <w:p>
      <w:pPr>
        <w:spacing w:line="360" w:lineRule="auto"/>
        <w:ind w:firstLine="456" w:firstLineChars="200"/>
        <w:rPr>
          <w:color w:val="auto"/>
          <w:sz w:val="24"/>
          <w:szCs w:val="24"/>
        </w:rPr>
      </w:pPr>
      <w:r>
        <w:rPr>
          <w:rFonts w:hint="eastAsia"/>
          <w:color w:val="auto"/>
          <w:sz w:val="24"/>
          <w:szCs w:val="24"/>
        </w:rPr>
        <w:t>地址：</w:t>
      </w:r>
    </w:p>
    <w:p>
      <w:pPr>
        <w:spacing w:line="360" w:lineRule="auto"/>
        <w:ind w:firstLine="456" w:firstLineChars="200"/>
        <w:rPr>
          <w:color w:val="auto"/>
          <w:sz w:val="24"/>
          <w:szCs w:val="24"/>
        </w:rPr>
      </w:pPr>
      <w:r>
        <w:rPr>
          <w:rFonts w:hint="eastAsia"/>
          <w:color w:val="auto"/>
          <w:sz w:val="24"/>
          <w:szCs w:val="24"/>
        </w:rPr>
        <w:t>法定代表人：</w:t>
      </w:r>
    </w:p>
    <w:p>
      <w:pPr>
        <w:spacing w:line="360" w:lineRule="auto"/>
        <w:ind w:firstLine="456" w:firstLineChars="200"/>
        <w:rPr>
          <w:color w:val="auto"/>
          <w:sz w:val="24"/>
          <w:szCs w:val="24"/>
        </w:rPr>
      </w:pPr>
      <w:r>
        <w:rPr>
          <w:rFonts w:hint="eastAsia"/>
          <w:color w:val="auto"/>
          <w:sz w:val="24"/>
          <w:szCs w:val="24"/>
        </w:rPr>
        <w:t>委托代理人：</w:t>
      </w:r>
    </w:p>
    <w:p>
      <w:pPr>
        <w:spacing w:line="360" w:lineRule="auto"/>
        <w:ind w:firstLine="456" w:firstLineChars="200"/>
        <w:rPr>
          <w:color w:val="auto"/>
          <w:sz w:val="24"/>
          <w:szCs w:val="24"/>
        </w:rPr>
      </w:pPr>
      <w:r>
        <w:rPr>
          <w:color w:val="auto"/>
          <w:sz w:val="24"/>
          <w:szCs w:val="24"/>
        </w:rPr>
        <w:t>电话：</w:t>
      </w:r>
    </w:p>
    <w:p>
      <w:pPr>
        <w:spacing w:line="360" w:lineRule="auto"/>
        <w:ind w:firstLine="456" w:firstLineChars="200"/>
        <w:rPr>
          <w:color w:val="auto"/>
          <w:sz w:val="24"/>
        </w:rPr>
      </w:pPr>
      <w:r>
        <w:rPr>
          <w:color w:val="auto"/>
          <w:sz w:val="24"/>
          <w:szCs w:val="24"/>
        </w:rPr>
        <w:t>签约时间：</w:t>
      </w:r>
      <w:r>
        <w:rPr>
          <w:rFonts w:hint="eastAsia"/>
          <w:color w:val="auto"/>
          <w:sz w:val="24"/>
          <w:szCs w:val="24"/>
          <w:lang w:val="en-US" w:eastAsia="zh-CN"/>
        </w:rPr>
        <w:t xml:space="preserve"> </w:t>
      </w:r>
      <w:r>
        <w:rPr>
          <w:rFonts w:hint="eastAsia"/>
          <w:color w:val="auto"/>
          <w:sz w:val="24"/>
          <w:szCs w:val="24"/>
        </w:rPr>
        <w:t xml:space="preserve"> 年</w:t>
      </w:r>
      <w:r>
        <w:rPr>
          <w:rFonts w:hint="eastAsia"/>
          <w:color w:val="auto"/>
          <w:sz w:val="24"/>
          <w:szCs w:val="24"/>
          <w:lang w:val="en-US" w:eastAsia="zh-CN"/>
        </w:rPr>
        <w:t xml:space="preserve"> </w:t>
      </w:r>
      <w:r>
        <w:rPr>
          <w:rFonts w:hint="eastAsia"/>
          <w:color w:val="auto"/>
          <w:sz w:val="24"/>
          <w:szCs w:val="24"/>
        </w:rPr>
        <w:t xml:space="preserve"> </w:t>
      </w:r>
      <w:r>
        <w:rPr>
          <w:color w:val="auto"/>
          <w:sz w:val="24"/>
          <w:szCs w:val="24"/>
        </w:rPr>
        <w:t xml:space="preserve"> 月</w:t>
      </w:r>
      <w:r>
        <w:rPr>
          <w:rFonts w:hint="eastAsia"/>
          <w:color w:val="auto"/>
          <w:sz w:val="24"/>
          <w:szCs w:val="24"/>
          <w:lang w:val="en-US" w:eastAsia="zh-CN"/>
        </w:rPr>
        <w:t xml:space="preserve"> </w:t>
      </w:r>
      <w:r>
        <w:rPr>
          <w:rFonts w:hint="eastAsia"/>
          <w:color w:val="auto"/>
          <w:sz w:val="24"/>
          <w:szCs w:val="24"/>
        </w:rPr>
        <w:t xml:space="preserve"> </w:t>
      </w:r>
      <w:r>
        <w:rPr>
          <w:color w:val="auto"/>
          <w:sz w:val="24"/>
          <w:szCs w:val="24"/>
        </w:rPr>
        <w:t xml:space="preserve"> 日</w:t>
      </w:r>
      <w:r>
        <w:rPr>
          <w:color w:val="auto"/>
          <w:sz w:val="24"/>
        </w:rPr>
        <w:t xml:space="preserve">                                       </w:t>
      </w:r>
    </w:p>
    <w:p>
      <w:pPr>
        <w:autoSpaceDE w:val="0"/>
        <w:autoSpaceDN w:val="0"/>
        <w:adjustRightInd w:val="0"/>
        <w:spacing w:line="360" w:lineRule="auto"/>
        <w:ind w:firstLine="456" w:firstLineChars="200"/>
        <w:rPr>
          <w:color w:val="auto"/>
          <w:sz w:val="24"/>
        </w:rPr>
      </w:pPr>
      <w:r>
        <w:rPr>
          <w:color w:val="auto"/>
          <w:sz w:val="24"/>
        </w:rPr>
        <w:br w:type="page"/>
      </w:r>
    </w:p>
    <w:p>
      <w:pPr>
        <w:rPr>
          <w:color w:val="auto"/>
          <w:sz w:val="28"/>
        </w:rPr>
      </w:pPr>
      <w:r>
        <w:rPr>
          <w:color w:val="auto"/>
          <w:sz w:val="28"/>
        </w:rPr>
        <w:t>附件</w:t>
      </w:r>
      <w:r>
        <w:rPr>
          <w:rFonts w:hint="eastAsia"/>
          <w:color w:val="auto"/>
          <w:sz w:val="28"/>
        </w:rPr>
        <w:t>1：</w:t>
      </w:r>
    </w:p>
    <w:p>
      <w:pPr>
        <w:spacing w:before="156" w:beforeLines="50" w:after="156" w:afterLines="50"/>
        <w:jc w:val="center"/>
        <w:rPr>
          <w:rFonts w:hint="eastAsia" w:eastAsia="宋体"/>
          <w:b/>
          <w:color w:val="auto"/>
          <w:sz w:val="36"/>
          <w:lang w:eastAsia="zh-CN"/>
        </w:rPr>
      </w:pPr>
      <w:r>
        <w:rPr>
          <w:rFonts w:hint="eastAsia"/>
          <w:b/>
          <w:color w:val="auto"/>
          <w:sz w:val="36"/>
          <w:lang w:eastAsia="zh-CN"/>
        </w:rPr>
        <w:t>合同</w:t>
      </w:r>
      <w:r>
        <w:rPr>
          <w:rFonts w:hint="eastAsia"/>
          <w:b/>
          <w:color w:val="auto"/>
          <w:sz w:val="36"/>
        </w:rPr>
        <w:t>明细</w:t>
      </w:r>
    </w:p>
    <w:tbl>
      <w:tblPr>
        <w:tblStyle w:val="30"/>
        <w:tblW w:w="4997" w:type="pct"/>
        <w:tblInd w:w="0" w:type="dxa"/>
        <w:tblLayout w:type="autofit"/>
        <w:tblCellMar>
          <w:top w:w="0" w:type="dxa"/>
          <w:left w:w="108" w:type="dxa"/>
          <w:bottom w:w="0" w:type="dxa"/>
          <w:right w:w="108" w:type="dxa"/>
        </w:tblCellMar>
      </w:tblPr>
      <w:tblGrid>
        <w:gridCol w:w="1003"/>
        <w:gridCol w:w="1523"/>
        <w:gridCol w:w="1196"/>
        <w:gridCol w:w="926"/>
        <w:gridCol w:w="884"/>
        <w:gridCol w:w="1018"/>
        <w:gridCol w:w="858"/>
        <w:gridCol w:w="1115"/>
      </w:tblGrid>
      <w:tr>
        <w:tblPrEx>
          <w:tblCellMar>
            <w:top w:w="0" w:type="dxa"/>
            <w:left w:w="108" w:type="dxa"/>
            <w:bottom w:w="0" w:type="dxa"/>
            <w:right w:w="108" w:type="dxa"/>
          </w:tblCellMar>
        </w:tblPrEx>
        <w:trPr>
          <w:trHeight w:val="483" w:hRule="atLeast"/>
        </w:trPr>
        <w:tc>
          <w:tcPr>
            <w:tcW w:w="588"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b/>
                <w:bCs/>
                <w:color w:val="auto"/>
                <w:kern w:val="0"/>
                <w:sz w:val="21"/>
                <w:szCs w:val="21"/>
              </w:rPr>
            </w:pPr>
            <w:r>
              <w:rPr>
                <w:b/>
                <w:bCs/>
                <w:color w:val="auto"/>
                <w:kern w:val="0"/>
                <w:sz w:val="21"/>
                <w:szCs w:val="21"/>
              </w:rPr>
              <w:t>序号</w:t>
            </w:r>
          </w:p>
        </w:tc>
        <w:tc>
          <w:tcPr>
            <w:tcW w:w="892" w:type="pct"/>
            <w:tcBorders>
              <w:top w:val="single" w:color="auto" w:sz="8" w:space="0"/>
              <w:left w:val="nil"/>
              <w:bottom w:val="single" w:color="auto" w:sz="8" w:space="0"/>
              <w:right w:val="single" w:color="auto" w:sz="8" w:space="0"/>
            </w:tcBorders>
            <w:shd w:val="clear" w:color="auto" w:fill="auto"/>
            <w:vAlign w:val="center"/>
          </w:tcPr>
          <w:p>
            <w:pPr>
              <w:widowControl/>
              <w:jc w:val="center"/>
              <w:rPr>
                <w:b/>
                <w:bCs/>
                <w:color w:val="auto"/>
                <w:kern w:val="0"/>
                <w:sz w:val="21"/>
                <w:szCs w:val="21"/>
              </w:rPr>
            </w:pPr>
            <w:r>
              <w:rPr>
                <w:rFonts w:hint="eastAsia"/>
                <w:b/>
                <w:bCs/>
                <w:color w:val="auto"/>
                <w:kern w:val="0"/>
                <w:sz w:val="21"/>
                <w:szCs w:val="21"/>
              </w:rPr>
              <w:t>货物名称</w:t>
            </w:r>
          </w:p>
        </w:tc>
        <w:tc>
          <w:tcPr>
            <w:tcW w:w="701" w:type="pct"/>
            <w:tcBorders>
              <w:top w:val="single" w:color="auto" w:sz="8" w:space="0"/>
              <w:left w:val="nil"/>
              <w:bottom w:val="single" w:color="auto" w:sz="8" w:space="0"/>
              <w:right w:val="single" w:color="auto" w:sz="8" w:space="0"/>
            </w:tcBorders>
            <w:shd w:val="clear" w:color="auto" w:fill="auto"/>
            <w:vAlign w:val="center"/>
          </w:tcPr>
          <w:p>
            <w:pPr>
              <w:widowControl/>
              <w:jc w:val="center"/>
              <w:rPr>
                <w:b/>
                <w:bCs/>
                <w:color w:val="auto"/>
                <w:kern w:val="0"/>
                <w:sz w:val="21"/>
                <w:szCs w:val="21"/>
              </w:rPr>
            </w:pPr>
            <w:r>
              <w:rPr>
                <w:rFonts w:hint="eastAsia"/>
                <w:b/>
                <w:bCs/>
                <w:color w:val="auto"/>
                <w:kern w:val="0"/>
                <w:sz w:val="21"/>
                <w:szCs w:val="21"/>
              </w:rPr>
              <w:t>型号规格</w:t>
            </w:r>
          </w:p>
        </w:tc>
        <w:tc>
          <w:tcPr>
            <w:tcW w:w="543" w:type="pct"/>
            <w:tcBorders>
              <w:top w:val="single" w:color="auto" w:sz="8" w:space="0"/>
              <w:left w:val="nil"/>
              <w:bottom w:val="single" w:color="auto" w:sz="8" w:space="0"/>
              <w:right w:val="single" w:color="auto" w:sz="8" w:space="0"/>
            </w:tcBorders>
            <w:shd w:val="clear" w:color="auto" w:fill="auto"/>
            <w:vAlign w:val="center"/>
          </w:tcPr>
          <w:p>
            <w:pPr>
              <w:widowControl/>
              <w:jc w:val="center"/>
              <w:rPr>
                <w:b/>
                <w:bCs/>
                <w:color w:val="auto"/>
                <w:kern w:val="0"/>
                <w:sz w:val="21"/>
                <w:szCs w:val="21"/>
              </w:rPr>
            </w:pPr>
            <w:r>
              <w:rPr>
                <w:b/>
                <w:bCs/>
                <w:color w:val="auto"/>
                <w:kern w:val="0"/>
                <w:sz w:val="21"/>
                <w:szCs w:val="21"/>
              </w:rPr>
              <w:t>数量</w:t>
            </w:r>
          </w:p>
        </w:tc>
        <w:tc>
          <w:tcPr>
            <w:tcW w:w="518" w:type="pct"/>
            <w:tcBorders>
              <w:top w:val="single" w:color="auto" w:sz="8" w:space="0"/>
              <w:left w:val="nil"/>
              <w:bottom w:val="single" w:color="auto" w:sz="8" w:space="0"/>
              <w:right w:val="single" w:color="auto" w:sz="8" w:space="0"/>
            </w:tcBorders>
            <w:shd w:val="clear" w:color="auto" w:fill="auto"/>
            <w:vAlign w:val="center"/>
          </w:tcPr>
          <w:p>
            <w:pPr>
              <w:widowControl/>
              <w:jc w:val="center"/>
              <w:rPr>
                <w:b/>
                <w:bCs/>
                <w:color w:val="auto"/>
                <w:kern w:val="0"/>
                <w:sz w:val="21"/>
                <w:szCs w:val="21"/>
              </w:rPr>
            </w:pPr>
            <w:r>
              <w:rPr>
                <w:b/>
                <w:bCs/>
                <w:color w:val="auto"/>
                <w:kern w:val="0"/>
                <w:sz w:val="21"/>
                <w:szCs w:val="21"/>
              </w:rPr>
              <w:t>单价</w:t>
            </w:r>
          </w:p>
        </w:tc>
        <w:tc>
          <w:tcPr>
            <w:tcW w:w="597" w:type="pct"/>
            <w:tcBorders>
              <w:top w:val="single" w:color="auto" w:sz="8" w:space="0"/>
              <w:left w:val="nil"/>
              <w:bottom w:val="single" w:color="auto" w:sz="8" w:space="0"/>
              <w:right w:val="single" w:color="auto" w:sz="8" w:space="0"/>
            </w:tcBorders>
            <w:shd w:val="clear" w:color="auto" w:fill="auto"/>
            <w:vAlign w:val="center"/>
          </w:tcPr>
          <w:p>
            <w:pPr>
              <w:widowControl/>
              <w:jc w:val="center"/>
              <w:rPr>
                <w:b/>
                <w:bCs/>
                <w:color w:val="auto"/>
                <w:kern w:val="0"/>
                <w:sz w:val="21"/>
                <w:szCs w:val="21"/>
              </w:rPr>
            </w:pPr>
            <w:r>
              <w:rPr>
                <w:b/>
                <w:bCs/>
                <w:color w:val="auto"/>
                <w:kern w:val="0"/>
                <w:sz w:val="21"/>
                <w:szCs w:val="21"/>
              </w:rPr>
              <w:t>金额</w:t>
            </w:r>
          </w:p>
        </w:tc>
        <w:tc>
          <w:tcPr>
            <w:tcW w:w="503" w:type="pct"/>
            <w:tcBorders>
              <w:top w:val="single" w:color="auto" w:sz="8" w:space="0"/>
              <w:left w:val="nil"/>
              <w:bottom w:val="single" w:color="auto" w:sz="8" w:space="0"/>
              <w:right w:val="single" w:color="auto" w:sz="8" w:space="0"/>
            </w:tcBorders>
            <w:shd w:val="clear" w:color="auto" w:fill="auto"/>
            <w:vAlign w:val="center"/>
          </w:tcPr>
          <w:p>
            <w:pPr>
              <w:widowControl/>
              <w:jc w:val="center"/>
              <w:rPr>
                <w:b/>
                <w:bCs/>
                <w:color w:val="auto"/>
                <w:kern w:val="0"/>
                <w:sz w:val="21"/>
                <w:szCs w:val="21"/>
              </w:rPr>
            </w:pPr>
            <w:r>
              <w:rPr>
                <w:rFonts w:hint="eastAsia"/>
                <w:b/>
                <w:bCs/>
                <w:color w:val="auto"/>
                <w:kern w:val="0"/>
                <w:sz w:val="21"/>
                <w:szCs w:val="21"/>
              </w:rPr>
              <w:t>国别</w:t>
            </w:r>
          </w:p>
        </w:tc>
        <w:tc>
          <w:tcPr>
            <w:tcW w:w="653" w:type="pct"/>
            <w:tcBorders>
              <w:top w:val="single" w:color="auto" w:sz="8" w:space="0"/>
              <w:left w:val="nil"/>
              <w:bottom w:val="single" w:color="auto" w:sz="8" w:space="0"/>
              <w:right w:val="single" w:color="auto" w:sz="8" w:space="0"/>
            </w:tcBorders>
            <w:shd w:val="clear" w:color="auto" w:fill="auto"/>
            <w:vAlign w:val="center"/>
          </w:tcPr>
          <w:p>
            <w:pPr>
              <w:widowControl/>
              <w:jc w:val="center"/>
              <w:rPr>
                <w:b/>
                <w:bCs/>
                <w:color w:val="auto"/>
                <w:kern w:val="0"/>
                <w:sz w:val="21"/>
                <w:szCs w:val="21"/>
              </w:rPr>
            </w:pPr>
            <w:r>
              <w:rPr>
                <w:rFonts w:hint="eastAsia"/>
                <w:b/>
                <w:bCs/>
                <w:color w:val="auto"/>
                <w:kern w:val="0"/>
                <w:sz w:val="21"/>
                <w:szCs w:val="21"/>
              </w:rPr>
              <w:t>生产厂家</w:t>
            </w:r>
          </w:p>
        </w:tc>
      </w:tr>
      <w:tr>
        <w:tblPrEx>
          <w:tblCellMar>
            <w:top w:w="0" w:type="dxa"/>
            <w:left w:w="108" w:type="dxa"/>
            <w:bottom w:w="0" w:type="dxa"/>
            <w:right w:w="108" w:type="dxa"/>
          </w:tblCellMar>
        </w:tblPrEx>
        <w:trPr>
          <w:trHeight w:val="1701" w:hRule="exact"/>
        </w:trPr>
        <w:tc>
          <w:tcPr>
            <w:tcW w:w="588" w:type="pct"/>
            <w:tcBorders>
              <w:top w:val="nil"/>
              <w:left w:val="single" w:color="auto" w:sz="8" w:space="0"/>
              <w:bottom w:val="single" w:color="auto" w:sz="8" w:space="0"/>
              <w:right w:val="single" w:color="auto" w:sz="8" w:space="0"/>
            </w:tcBorders>
            <w:shd w:val="clear" w:color="auto" w:fill="auto"/>
            <w:vAlign w:val="center"/>
          </w:tcPr>
          <w:p>
            <w:pPr>
              <w:widowControl/>
              <w:jc w:val="center"/>
              <w:rPr>
                <w:color w:val="auto"/>
                <w:kern w:val="0"/>
                <w:sz w:val="21"/>
                <w:szCs w:val="21"/>
              </w:rPr>
            </w:pPr>
            <w:r>
              <w:rPr>
                <w:color w:val="auto"/>
                <w:kern w:val="0"/>
                <w:sz w:val="21"/>
                <w:szCs w:val="21"/>
              </w:rPr>
              <w:t>1</w:t>
            </w:r>
          </w:p>
        </w:tc>
        <w:tc>
          <w:tcPr>
            <w:tcW w:w="892"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701"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43"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18"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97"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03"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653" w:type="pct"/>
            <w:tcBorders>
              <w:top w:val="nil"/>
              <w:left w:val="nil"/>
              <w:bottom w:val="single" w:color="auto" w:sz="8" w:space="0"/>
              <w:right w:val="single" w:color="auto" w:sz="8" w:space="0"/>
            </w:tcBorders>
            <w:shd w:val="clear" w:color="auto" w:fill="auto"/>
            <w:vAlign w:val="center"/>
          </w:tcPr>
          <w:p>
            <w:pPr>
              <w:widowControl/>
              <w:jc w:val="left"/>
              <w:rPr>
                <w:color w:val="auto"/>
                <w:kern w:val="0"/>
                <w:sz w:val="21"/>
                <w:szCs w:val="21"/>
              </w:rPr>
            </w:pPr>
          </w:p>
        </w:tc>
      </w:tr>
      <w:tr>
        <w:tblPrEx>
          <w:tblCellMar>
            <w:top w:w="0" w:type="dxa"/>
            <w:left w:w="108" w:type="dxa"/>
            <w:bottom w:w="0" w:type="dxa"/>
            <w:right w:w="108" w:type="dxa"/>
          </w:tblCellMar>
        </w:tblPrEx>
        <w:trPr>
          <w:trHeight w:val="1701" w:hRule="exact"/>
        </w:trPr>
        <w:tc>
          <w:tcPr>
            <w:tcW w:w="588" w:type="pct"/>
            <w:tcBorders>
              <w:top w:val="nil"/>
              <w:left w:val="single" w:color="auto" w:sz="8" w:space="0"/>
              <w:bottom w:val="single" w:color="auto" w:sz="8" w:space="0"/>
              <w:right w:val="single" w:color="auto" w:sz="8" w:space="0"/>
            </w:tcBorders>
            <w:shd w:val="clear" w:color="auto" w:fill="auto"/>
            <w:vAlign w:val="center"/>
          </w:tcPr>
          <w:p>
            <w:pPr>
              <w:widowControl/>
              <w:jc w:val="center"/>
              <w:rPr>
                <w:color w:val="auto"/>
                <w:kern w:val="0"/>
                <w:sz w:val="21"/>
                <w:szCs w:val="21"/>
              </w:rPr>
            </w:pPr>
            <w:r>
              <w:rPr>
                <w:rFonts w:hint="eastAsia"/>
                <w:color w:val="auto"/>
                <w:kern w:val="0"/>
                <w:sz w:val="21"/>
                <w:szCs w:val="21"/>
              </w:rPr>
              <w:t>2</w:t>
            </w:r>
          </w:p>
        </w:tc>
        <w:tc>
          <w:tcPr>
            <w:tcW w:w="892"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701"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43"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18"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97"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03"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653" w:type="pct"/>
            <w:tcBorders>
              <w:top w:val="nil"/>
              <w:left w:val="nil"/>
              <w:bottom w:val="single" w:color="auto" w:sz="8" w:space="0"/>
              <w:right w:val="single" w:color="auto" w:sz="8" w:space="0"/>
            </w:tcBorders>
            <w:shd w:val="clear" w:color="auto" w:fill="auto"/>
            <w:vAlign w:val="center"/>
          </w:tcPr>
          <w:p>
            <w:pPr>
              <w:widowControl/>
              <w:jc w:val="left"/>
              <w:rPr>
                <w:color w:val="auto"/>
                <w:kern w:val="0"/>
                <w:sz w:val="21"/>
                <w:szCs w:val="21"/>
              </w:rPr>
            </w:pPr>
          </w:p>
        </w:tc>
      </w:tr>
      <w:tr>
        <w:tblPrEx>
          <w:tblCellMar>
            <w:top w:w="0" w:type="dxa"/>
            <w:left w:w="108" w:type="dxa"/>
            <w:bottom w:w="0" w:type="dxa"/>
            <w:right w:w="108" w:type="dxa"/>
          </w:tblCellMar>
        </w:tblPrEx>
        <w:trPr>
          <w:trHeight w:val="1701" w:hRule="exact"/>
        </w:trPr>
        <w:tc>
          <w:tcPr>
            <w:tcW w:w="588" w:type="pct"/>
            <w:tcBorders>
              <w:top w:val="nil"/>
              <w:left w:val="single" w:color="auto" w:sz="8" w:space="0"/>
              <w:bottom w:val="single" w:color="auto" w:sz="8" w:space="0"/>
              <w:right w:val="single" w:color="auto" w:sz="8" w:space="0"/>
            </w:tcBorders>
            <w:shd w:val="clear" w:color="auto" w:fill="auto"/>
            <w:vAlign w:val="center"/>
          </w:tcPr>
          <w:p>
            <w:pPr>
              <w:widowControl/>
              <w:jc w:val="center"/>
              <w:rPr>
                <w:color w:val="auto"/>
                <w:kern w:val="0"/>
                <w:sz w:val="21"/>
                <w:szCs w:val="21"/>
              </w:rPr>
            </w:pPr>
            <w:r>
              <w:rPr>
                <w:rFonts w:hint="eastAsia"/>
                <w:color w:val="auto"/>
                <w:kern w:val="0"/>
                <w:sz w:val="21"/>
                <w:szCs w:val="21"/>
              </w:rPr>
              <w:t>3</w:t>
            </w:r>
          </w:p>
        </w:tc>
        <w:tc>
          <w:tcPr>
            <w:tcW w:w="892"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701"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43"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18"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97"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03"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653" w:type="pct"/>
            <w:tcBorders>
              <w:top w:val="nil"/>
              <w:left w:val="nil"/>
              <w:bottom w:val="single" w:color="auto" w:sz="8" w:space="0"/>
              <w:right w:val="single" w:color="auto" w:sz="8" w:space="0"/>
            </w:tcBorders>
            <w:shd w:val="clear" w:color="auto" w:fill="auto"/>
            <w:vAlign w:val="center"/>
          </w:tcPr>
          <w:p>
            <w:pPr>
              <w:widowControl/>
              <w:jc w:val="left"/>
              <w:rPr>
                <w:color w:val="auto"/>
                <w:kern w:val="0"/>
                <w:sz w:val="21"/>
                <w:szCs w:val="21"/>
              </w:rPr>
            </w:pPr>
          </w:p>
        </w:tc>
      </w:tr>
      <w:tr>
        <w:tblPrEx>
          <w:tblCellMar>
            <w:top w:w="0" w:type="dxa"/>
            <w:left w:w="108" w:type="dxa"/>
            <w:bottom w:w="0" w:type="dxa"/>
            <w:right w:w="108" w:type="dxa"/>
          </w:tblCellMar>
        </w:tblPrEx>
        <w:trPr>
          <w:trHeight w:val="1701" w:hRule="exact"/>
        </w:trPr>
        <w:tc>
          <w:tcPr>
            <w:tcW w:w="588"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eastAsia="宋体"/>
                <w:color w:val="auto"/>
                <w:kern w:val="0"/>
                <w:sz w:val="21"/>
                <w:szCs w:val="21"/>
                <w:lang w:val="en-US" w:eastAsia="zh-CN"/>
              </w:rPr>
            </w:pPr>
            <w:r>
              <w:rPr>
                <w:rFonts w:hint="eastAsia"/>
                <w:color w:val="auto"/>
                <w:kern w:val="0"/>
                <w:sz w:val="21"/>
                <w:szCs w:val="21"/>
              </w:rPr>
              <w:t>...</w:t>
            </w:r>
            <w:r>
              <w:rPr>
                <w:rFonts w:hint="eastAsia"/>
                <w:color w:val="auto"/>
                <w:kern w:val="0"/>
                <w:sz w:val="21"/>
                <w:szCs w:val="21"/>
                <w:lang w:val="en-US" w:eastAsia="zh-CN"/>
              </w:rPr>
              <w:t>...</w:t>
            </w:r>
          </w:p>
        </w:tc>
        <w:tc>
          <w:tcPr>
            <w:tcW w:w="892"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701"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43"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18"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97"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03"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653" w:type="pct"/>
            <w:tcBorders>
              <w:top w:val="nil"/>
              <w:left w:val="nil"/>
              <w:bottom w:val="single" w:color="auto" w:sz="8" w:space="0"/>
              <w:right w:val="single" w:color="auto" w:sz="8" w:space="0"/>
            </w:tcBorders>
            <w:shd w:val="clear" w:color="auto" w:fill="auto"/>
            <w:vAlign w:val="center"/>
          </w:tcPr>
          <w:p>
            <w:pPr>
              <w:widowControl/>
              <w:jc w:val="left"/>
              <w:rPr>
                <w:color w:val="auto"/>
                <w:kern w:val="0"/>
                <w:sz w:val="21"/>
                <w:szCs w:val="21"/>
              </w:rPr>
            </w:pPr>
          </w:p>
        </w:tc>
      </w:tr>
      <w:tr>
        <w:tblPrEx>
          <w:tblCellMar>
            <w:top w:w="0" w:type="dxa"/>
            <w:left w:w="108" w:type="dxa"/>
            <w:bottom w:w="0" w:type="dxa"/>
            <w:right w:w="108" w:type="dxa"/>
          </w:tblCellMar>
        </w:tblPrEx>
        <w:trPr>
          <w:trHeight w:val="918" w:hRule="atLeast"/>
        </w:trPr>
        <w:tc>
          <w:tcPr>
            <w:tcW w:w="1481" w:type="pct"/>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auto"/>
                <w:kern w:val="0"/>
                <w:sz w:val="21"/>
                <w:szCs w:val="21"/>
              </w:rPr>
            </w:pPr>
            <w:r>
              <w:rPr>
                <w:color w:val="auto"/>
                <w:kern w:val="0"/>
                <w:sz w:val="21"/>
                <w:szCs w:val="21"/>
              </w:rPr>
              <w:t>合计</w:t>
            </w:r>
          </w:p>
        </w:tc>
        <w:tc>
          <w:tcPr>
            <w:tcW w:w="701"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43"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18"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97"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503"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653"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r>
              <w:rPr>
                <w:color w:val="auto"/>
                <w:kern w:val="0"/>
                <w:sz w:val="21"/>
                <w:szCs w:val="21"/>
              </w:rPr>
              <w:t>　</w:t>
            </w:r>
          </w:p>
        </w:tc>
      </w:tr>
    </w:tbl>
    <w:p>
      <w:pPr>
        <w:rPr>
          <w:color w:val="auto"/>
          <w:sz w:val="28"/>
        </w:rPr>
      </w:pPr>
    </w:p>
    <w:p>
      <w:pPr>
        <w:rPr>
          <w:color w:val="auto"/>
        </w:rPr>
      </w:pPr>
    </w:p>
    <w:p>
      <w:pPr>
        <w:rPr>
          <w:color w:val="auto"/>
        </w:rPr>
      </w:pPr>
    </w:p>
    <w:p>
      <w:pPr>
        <w:rPr>
          <w:color w:val="auto"/>
        </w:rPr>
      </w:pPr>
    </w:p>
    <w:p>
      <w:pPr>
        <w:rPr>
          <w:color w:val="auto"/>
        </w:rPr>
      </w:pPr>
    </w:p>
    <w:p>
      <w:pPr>
        <w:rPr>
          <w:rFonts w:hint="eastAsia"/>
          <w:color w:val="auto"/>
          <w:sz w:val="28"/>
        </w:rPr>
      </w:pPr>
      <w:r>
        <w:rPr>
          <w:rFonts w:hint="eastAsia"/>
          <w:color w:val="auto"/>
          <w:sz w:val="28"/>
        </w:rPr>
        <w:br w:type="page"/>
      </w:r>
    </w:p>
    <w:p>
      <w:pPr>
        <w:widowControl/>
        <w:jc w:val="left"/>
        <w:rPr>
          <w:color w:val="auto"/>
          <w:sz w:val="28"/>
        </w:rPr>
      </w:pPr>
      <w:r>
        <w:rPr>
          <w:rFonts w:hint="eastAsia"/>
          <w:color w:val="auto"/>
          <w:sz w:val="28"/>
        </w:rPr>
        <w:t>附件2：</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ascii="黑体" w:hAnsi="黑体" w:eastAsia="黑体"/>
          <w:b/>
          <w:color w:val="auto"/>
          <w:sz w:val="36"/>
        </w:rPr>
      </w:pPr>
      <w:r>
        <w:rPr>
          <w:rFonts w:hint="eastAsia" w:ascii="黑体" w:hAnsi="黑体" w:eastAsia="黑体"/>
          <w:b/>
          <w:color w:val="auto"/>
          <w:sz w:val="36"/>
        </w:rPr>
        <w:t>配置清单和技术</w:t>
      </w:r>
      <w:r>
        <w:rPr>
          <w:rFonts w:ascii="黑体" w:hAnsi="黑体" w:eastAsia="黑体"/>
          <w:b/>
          <w:color w:val="auto"/>
          <w:sz w:val="36"/>
        </w:rPr>
        <w:t>指标</w:t>
      </w:r>
    </w:p>
    <w:tbl>
      <w:tblPr>
        <w:tblStyle w:val="30"/>
        <w:tblW w:w="4997" w:type="pct"/>
        <w:tblInd w:w="0" w:type="dxa"/>
        <w:tblLayout w:type="autofit"/>
        <w:tblCellMar>
          <w:top w:w="0" w:type="dxa"/>
          <w:left w:w="108" w:type="dxa"/>
          <w:bottom w:w="0" w:type="dxa"/>
          <w:right w:w="108" w:type="dxa"/>
        </w:tblCellMar>
      </w:tblPr>
      <w:tblGrid>
        <w:gridCol w:w="995"/>
        <w:gridCol w:w="1344"/>
        <w:gridCol w:w="6184"/>
      </w:tblGrid>
      <w:tr>
        <w:tblPrEx>
          <w:tblCellMar>
            <w:top w:w="0" w:type="dxa"/>
            <w:left w:w="108" w:type="dxa"/>
            <w:bottom w:w="0" w:type="dxa"/>
            <w:right w:w="108" w:type="dxa"/>
          </w:tblCellMar>
        </w:tblPrEx>
        <w:trPr>
          <w:trHeight w:val="712" w:hRule="atLeast"/>
        </w:trPr>
        <w:tc>
          <w:tcPr>
            <w:tcW w:w="58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b/>
                <w:bCs/>
                <w:color w:val="auto"/>
                <w:kern w:val="0"/>
                <w:sz w:val="21"/>
                <w:szCs w:val="21"/>
              </w:rPr>
            </w:pPr>
            <w:r>
              <w:rPr>
                <w:b/>
                <w:bCs/>
                <w:color w:val="auto"/>
                <w:kern w:val="0"/>
                <w:sz w:val="21"/>
                <w:szCs w:val="21"/>
              </w:rPr>
              <w:t>序号</w:t>
            </w:r>
          </w:p>
        </w:tc>
        <w:tc>
          <w:tcPr>
            <w:tcW w:w="788" w:type="pct"/>
            <w:tcBorders>
              <w:top w:val="single" w:color="auto" w:sz="8" w:space="0"/>
              <w:left w:val="nil"/>
              <w:bottom w:val="single" w:color="auto" w:sz="8" w:space="0"/>
              <w:right w:val="single" w:color="auto" w:sz="8" w:space="0"/>
            </w:tcBorders>
            <w:shd w:val="clear" w:color="auto" w:fill="auto"/>
            <w:vAlign w:val="center"/>
          </w:tcPr>
          <w:p>
            <w:pPr>
              <w:widowControl/>
              <w:jc w:val="center"/>
              <w:rPr>
                <w:b/>
                <w:bCs/>
                <w:color w:val="auto"/>
                <w:kern w:val="0"/>
                <w:sz w:val="21"/>
                <w:szCs w:val="21"/>
              </w:rPr>
            </w:pPr>
            <w:r>
              <w:rPr>
                <w:rFonts w:hint="eastAsia"/>
                <w:b/>
                <w:bCs/>
                <w:color w:val="auto"/>
                <w:kern w:val="0"/>
                <w:sz w:val="21"/>
                <w:szCs w:val="21"/>
              </w:rPr>
              <w:t>货物名称</w:t>
            </w:r>
          </w:p>
        </w:tc>
        <w:tc>
          <w:tcPr>
            <w:tcW w:w="3627" w:type="pct"/>
            <w:tcBorders>
              <w:top w:val="single" w:color="auto" w:sz="8" w:space="0"/>
              <w:left w:val="nil"/>
              <w:bottom w:val="single" w:color="auto" w:sz="8" w:space="0"/>
              <w:right w:val="single" w:color="auto" w:sz="8" w:space="0"/>
            </w:tcBorders>
            <w:shd w:val="clear" w:color="auto" w:fill="auto"/>
            <w:vAlign w:val="center"/>
          </w:tcPr>
          <w:p>
            <w:pPr>
              <w:widowControl/>
              <w:jc w:val="center"/>
              <w:rPr>
                <w:b/>
                <w:bCs/>
                <w:color w:val="auto"/>
                <w:kern w:val="0"/>
                <w:sz w:val="21"/>
                <w:szCs w:val="21"/>
              </w:rPr>
            </w:pPr>
            <w:r>
              <w:rPr>
                <w:rFonts w:hint="eastAsia"/>
                <w:b/>
                <w:bCs/>
                <w:color w:val="auto"/>
                <w:kern w:val="0"/>
                <w:sz w:val="21"/>
                <w:szCs w:val="21"/>
              </w:rPr>
              <w:t>配置清单和技术指标</w:t>
            </w:r>
          </w:p>
        </w:tc>
      </w:tr>
      <w:tr>
        <w:tblPrEx>
          <w:tblCellMar>
            <w:top w:w="0" w:type="dxa"/>
            <w:left w:w="108" w:type="dxa"/>
            <w:bottom w:w="0" w:type="dxa"/>
            <w:right w:w="108" w:type="dxa"/>
          </w:tblCellMar>
        </w:tblPrEx>
        <w:trPr>
          <w:trHeight w:val="1701" w:hRule="exact"/>
        </w:trPr>
        <w:tc>
          <w:tcPr>
            <w:tcW w:w="584" w:type="pct"/>
            <w:tcBorders>
              <w:top w:val="nil"/>
              <w:left w:val="single" w:color="auto" w:sz="8" w:space="0"/>
              <w:bottom w:val="single" w:color="auto" w:sz="8" w:space="0"/>
              <w:right w:val="single" w:color="auto" w:sz="8" w:space="0"/>
            </w:tcBorders>
            <w:shd w:val="clear" w:color="auto" w:fill="auto"/>
            <w:vAlign w:val="center"/>
          </w:tcPr>
          <w:p>
            <w:pPr>
              <w:widowControl/>
              <w:jc w:val="center"/>
              <w:rPr>
                <w:color w:val="auto"/>
                <w:kern w:val="0"/>
                <w:sz w:val="21"/>
                <w:szCs w:val="21"/>
              </w:rPr>
            </w:pPr>
            <w:r>
              <w:rPr>
                <w:color w:val="auto"/>
                <w:kern w:val="0"/>
                <w:sz w:val="21"/>
                <w:szCs w:val="21"/>
              </w:rPr>
              <w:t>1</w:t>
            </w:r>
          </w:p>
        </w:tc>
        <w:tc>
          <w:tcPr>
            <w:tcW w:w="788"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3627" w:type="pct"/>
            <w:tcBorders>
              <w:top w:val="nil"/>
              <w:left w:val="nil"/>
              <w:bottom w:val="single" w:color="auto" w:sz="8" w:space="0"/>
              <w:right w:val="single" w:color="auto" w:sz="8" w:space="0"/>
            </w:tcBorders>
            <w:shd w:val="clear" w:color="auto" w:fill="auto"/>
            <w:vAlign w:val="center"/>
          </w:tcPr>
          <w:p>
            <w:pPr>
              <w:widowControl/>
              <w:jc w:val="left"/>
              <w:rPr>
                <w:color w:val="auto"/>
                <w:kern w:val="0"/>
                <w:sz w:val="21"/>
                <w:szCs w:val="21"/>
              </w:rPr>
            </w:pPr>
          </w:p>
        </w:tc>
      </w:tr>
      <w:tr>
        <w:tblPrEx>
          <w:tblCellMar>
            <w:top w:w="0" w:type="dxa"/>
            <w:left w:w="108" w:type="dxa"/>
            <w:bottom w:w="0" w:type="dxa"/>
            <w:right w:w="108" w:type="dxa"/>
          </w:tblCellMar>
        </w:tblPrEx>
        <w:trPr>
          <w:trHeight w:val="1701" w:hRule="exact"/>
        </w:trPr>
        <w:tc>
          <w:tcPr>
            <w:tcW w:w="584" w:type="pct"/>
            <w:tcBorders>
              <w:top w:val="nil"/>
              <w:left w:val="single" w:color="auto" w:sz="8" w:space="0"/>
              <w:bottom w:val="single" w:color="auto" w:sz="8" w:space="0"/>
              <w:right w:val="single" w:color="auto" w:sz="8" w:space="0"/>
            </w:tcBorders>
            <w:shd w:val="clear" w:color="auto" w:fill="auto"/>
            <w:vAlign w:val="center"/>
          </w:tcPr>
          <w:p>
            <w:pPr>
              <w:widowControl/>
              <w:jc w:val="center"/>
              <w:rPr>
                <w:color w:val="auto"/>
                <w:kern w:val="0"/>
                <w:sz w:val="21"/>
                <w:szCs w:val="21"/>
              </w:rPr>
            </w:pPr>
            <w:r>
              <w:rPr>
                <w:rFonts w:hint="eastAsia"/>
                <w:color w:val="auto"/>
                <w:kern w:val="0"/>
                <w:sz w:val="21"/>
                <w:szCs w:val="21"/>
              </w:rPr>
              <w:t>2</w:t>
            </w:r>
          </w:p>
        </w:tc>
        <w:tc>
          <w:tcPr>
            <w:tcW w:w="788"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3627" w:type="pct"/>
            <w:tcBorders>
              <w:top w:val="nil"/>
              <w:left w:val="nil"/>
              <w:bottom w:val="single" w:color="auto" w:sz="8" w:space="0"/>
              <w:right w:val="single" w:color="auto" w:sz="8" w:space="0"/>
            </w:tcBorders>
            <w:shd w:val="clear" w:color="auto" w:fill="auto"/>
            <w:vAlign w:val="center"/>
          </w:tcPr>
          <w:p>
            <w:pPr>
              <w:widowControl/>
              <w:jc w:val="left"/>
              <w:rPr>
                <w:color w:val="auto"/>
                <w:kern w:val="0"/>
                <w:sz w:val="21"/>
                <w:szCs w:val="21"/>
              </w:rPr>
            </w:pPr>
          </w:p>
        </w:tc>
      </w:tr>
      <w:tr>
        <w:tblPrEx>
          <w:tblCellMar>
            <w:top w:w="0" w:type="dxa"/>
            <w:left w:w="108" w:type="dxa"/>
            <w:bottom w:w="0" w:type="dxa"/>
            <w:right w:w="108" w:type="dxa"/>
          </w:tblCellMar>
        </w:tblPrEx>
        <w:trPr>
          <w:trHeight w:val="1701" w:hRule="exact"/>
        </w:trPr>
        <w:tc>
          <w:tcPr>
            <w:tcW w:w="584" w:type="pct"/>
            <w:tcBorders>
              <w:top w:val="nil"/>
              <w:left w:val="single" w:color="auto" w:sz="8" w:space="0"/>
              <w:bottom w:val="single" w:color="auto" w:sz="8" w:space="0"/>
              <w:right w:val="single" w:color="auto" w:sz="8" w:space="0"/>
            </w:tcBorders>
            <w:shd w:val="clear" w:color="auto" w:fill="auto"/>
            <w:vAlign w:val="center"/>
          </w:tcPr>
          <w:p>
            <w:pPr>
              <w:widowControl/>
              <w:jc w:val="center"/>
              <w:rPr>
                <w:color w:val="auto"/>
                <w:kern w:val="0"/>
                <w:sz w:val="21"/>
                <w:szCs w:val="21"/>
              </w:rPr>
            </w:pPr>
            <w:r>
              <w:rPr>
                <w:rFonts w:hint="eastAsia"/>
                <w:color w:val="auto"/>
                <w:kern w:val="0"/>
                <w:sz w:val="21"/>
                <w:szCs w:val="21"/>
              </w:rPr>
              <w:t>3</w:t>
            </w:r>
          </w:p>
        </w:tc>
        <w:tc>
          <w:tcPr>
            <w:tcW w:w="788"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3627" w:type="pct"/>
            <w:tcBorders>
              <w:top w:val="nil"/>
              <w:left w:val="nil"/>
              <w:bottom w:val="single" w:color="auto" w:sz="8" w:space="0"/>
              <w:right w:val="single" w:color="auto" w:sz="8" w:space="0"/>
            </w:tcBorders>
            <w:shd w:val="clear" w:color="auto" w:fill="auto"/>
            <w:vAlign w:val="center"/>
          </w:tcPr>
          <w:p>
            <w:pPr>
              <w:widowControl/>
              <w:jc w:val="left"/>
              <w:rPr>
                <w:color w:val="auto"/>
                <w:kern w:val="0"/>
                <w:sz w:val="21"/>
                <w:szCs w:val="21"/>
              </w:rPr>
            </w:pPr>
          </w:p>
        </w:tc>
      </w:tr>
      <w:tr>
        <w:tblPrEx>
          <w:tblCellMar>
            <w:top w:w="0" w:type="dxa"/>
            <w:left w:w="108" w:type="dxa"/>
            <w:bottom w:w="0" w:type="dxa"/>
            <w:right w:w="108" w:type="dxa"/>
          </w:tblCellMar>
        </w:tblPrEx>
        <w:trPr>
          <w:trHeight w:val="1701" w:hRule="exact"/>
        </w:trPr>
        <w:tc>
          <w:tcPr>
            <w:tcW w:w="58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eastAsia="宋体"/>
                <w:color w:val="auto"/>
                <w:kern w:val="0"/>
                <w:sz w:val="21"/>
                <w:szCs w:val="21"/>
                <w:lang w:val="en-US" w:eastAsia="zh-CN"/>
              </w:rPr>
            </w:pPr>
            <w:r>
              <w:rPr>
                <w:rFonts w:hint="eastAsia"/>
                <w:color w:val="auto"/>
                <w:kern w:val="0"/>
                <w:sz w:val="21"/>
                <w:szCs w:val="21"/>
              </w:rPr>
              <w:t>...</w:t>
            </w:r>
            <w:r>
              <w:rPr>
                <w:rFonts w:hint="eastAsia"/>
                <w:color w:val="auto"/>
                <w:kern w:val="0"/>
                <w:sz w:val="21"/>
                <w:szCs w:val="21"/>
                <w:lang w:val="en-US" w:eastAsia="zh-CN"/>
              </w:rPr>
              <w:t>...</w:t>
            </w:r>
          </w:p>
        </w:tc>
        <w:tc>
          <w:tcPr>
            <w:tcW w:w="788" w:type="pct"/>
            <w:tcBorders>
              <w:top w:val="nil"/>
              <w:left w:val="nil"/>
              <w:bottom w:val="single" w:color="auto" w:sz="8" w:space="0"/>
              <w:right w:val="single" w:color="auto" w:sz="8" w:space="0"/>
            </w:tcBorders>
            <w:shd w:val="clear" w:color="auto" w:fill="auto"/>
            <w:vAlign w:val="center"/>
          </w:tcPr>
          <w:p>
            <w:pPr>
              <w:widowControl/>
              <w:jc w:val="center"/>
              <w:rPr>
                <w:color w:val="auto"/>
                <w:kern w:val="0"/>
                <w:sz w:val="21"/>
                <w:szCs w:val="21"/>
              </w:rPr>
            </w:pPr>
          </w:p>
        </w:tc>
        <w:tc>
          <w:tcPr>
            <w:tcW w:w="3627" w:type="pct"/>
            <w:tcBorders>
              <w:top w:val="nil"/>
              <w:left w:val="nil"/>
              <w:bottom w:val="single" w:color="auto" w:sz="8" w:space="0"/>
              <w:right w:val="single" w:color="auto" w:sz="8" w:space="0"/>
            </w:tcBorders>
            <w:shd w:val="clear" w:color="auto" w:fill="auto"/>
            <w:vAlign w:val="center"/>
          </w:tcPr>
          <w:p>
            <w:pPr>
              <w:widowControl/>
              <w:jc w:val="left"/>
              <w:rPr>
                <w:color w:val="auto"/>
                <w:kern w:val="0"/>
                <w:sz w:val="21"/>
                <w:szCs w:val="21"/>
              </w:rPr>
            </w:pPr>
          </w:p>
        </w:tc>
      </w:tr>
    </w:tbl>
    <w:p>
      <w:pPr>
        <w:rPr>
          <w:color w:val="auto"/>
          <w:sz w:val="28"/>
        </w:rPr>
      </w:pPr>
    </w:p>
    <w:p>
      <w:pPr>
        <w:rPr>
          <w:color w:val="auto"/>
          <w:sz w:val="28"/>
        </w:rPr>
      </w:pPr>
    </w:p>
    <w:p>
      <w:pPr>
        <w:rPr>
          <w:color w:val="auto"/>
        </w:rPr>
      </w:pPr>
    </w:p>
    <w:p>
      <w:pPr>
        <w:rPr>
          <w:color w:val="auto"/>
        </w:rPr>
      </w:pPr>
    </w:p>
    <w:p>
      <w:pPr>
        <w:rPr>
          <w:color w:val="auto"/>
        </w:rPr>
      </w:pPr>
    </w:p>
    <w:p>
      <w:pPr>
        <w:rPr>
          <w:color w:val="auto"/>
        </w:rPr>
      </w:pPr>
      <w:r>
        <w:rPr>
          <w:color w:val="auto"/>
        </w:rPr>
        <w:br w:type="page"/>
      </w:r>
    </w:p>
    <w:p>
      <w:pPr>
        <w:rPr>
          <w:color w:val="auto"/>
          <w:sz w:val="28"/>
          <w:szCs w:val="22"/>
        </w:rPr>
      </w:pPr>
      <w:r>
        <w:rPr>
          <w:rFonts w:hint="eastAsia"/>
          <w:color w:val="auto"/>
          <w:sz w:val="28"/>
          <w:szCs w:val="22"/>
        </w:rPr>
        <w:t>附件</w:t>
      </w:r>
      <w:r>
        <w:rPr>
          <w:rFonts w:hint="eastAsia"/>
          <w:color w:val="auto"/>
          <w:sz w:val="28"/>
          <w:szCs w:val="22"/>
          <w:lang w:val="en-US" w:eastAsia="zh-CN"/>
        </w:rPr>
        <w:t>3</w:t>
      </w:r>
      <w:r>
        <w:rPr>
          <w:rFonts w:hint="eastAsia"/>
          <w:color w:val="auto"/>
          <w:sz w:val="28"/>
          <w:szCs w:val="22"/>
        </w:rPr>
        <w:t>：</w:t>
      </w:r>
    </w:p>
    <w:p>
      <w:pPr>
        <w:spacing w:before="156" w:beforeLines="50" w:after="312" w:afterLines="100"/>
        <w:jc w:val="center"/>
        <w:rPr>
          <w:rFonts w:ascii="黑体" w:hAnsi="黑体" w:eastAsia="黑体"/>
          <w:b/>
          <w:color w:val="auto"/>
          <w:sz w:val="44"/>
          <w:szCs w:val="32"/>
        </w:rPr>
      </w:pPr>
      <w:r>
        <w:rPr>
          <w:rFonts w:hint="eastAsia" w:ascii="黑体" w:hAnsi="黑体" w:eastAsia="黑体"/>
          <w:b/>
          <w:color w:val="auto"/>
          <w:sz w:val="44"/>
          <w:szCs w:val="32"/>
        </w:rPr>
        <w:t>承诺函</w:t>
      </w:r>
    </w:p>
    <w:p>
      <w:pPr>
        <w:ind w:firstLine="616" w:firstLineChars="200"/>
        <w:rPr>
          <w:color w:val="auto"/>
          <w:sz w:val="32"/>
          <w:szCs w:val="32"/>
        </w:rPr>
      </w:pPr>
      <w:r>
        <w:rPr>
          <w:rFonts w:hint="eastAsia"/>
          <w:color w:val="auto"/>
          <w:sz w:val="32"/>
          <w:szCs w:val="32"/>
        </w:rPr>
        <w:t>我公司承诺本合同</w:t>
      </w:r>
      <w:r>
        <w:rPr>
          <w:rFonts w:hint="eastAsia"/>
          <w:color w:val="auto"/>
          <w:sz w:val="32"/>
          <w:szCs w:val="32"/>
          <w:lang w:eastAsia="zh-CN"/>
        </w:rPr>
        <w:t>明细</w:t>
      </w:r>
      <w:r>
        <w:rPr>
          <w:rFonts w:hint="eastAsia"/>
          <w:color w:val="auto"/>
          <w:sz w:val="32"/>
          <w:szCs w:val="32"/>
        </w:rPr>
        <w:t>中的进口设备都是国家规定的免税进口设备。如果存在非免税进口设备或</w:t>
      </w:r>
      <w:r>
        <w:rPr>
          <w:color w:val="auto"/>
          <w:sz w:val="32"/>
          <w:szCs w:val="32"/>
        </w:rPr>
        <w:t>天津海关不予批准进口设备免税</w:t>
      </w:r>
      <w:r>
        <w:rPr>
          <w:rFonts w:hint="eastAsia"/>
          <w:color w:val="auto"/>
          <w:sz w:val="32"/>
          <w:szCs w:val="32"/>
        </w:rPr>
        <w:t>，则由我公司自行缴纳进口增值税和进口关税等所有税费，并承担一切责任。</w:t>
      </w:r>
    </w:p>
    <w:p>
      <w:pPr>
        <w:rPr>
          <w:color w:val="auto"/>
          <w:sz w:val="28"/>
          <w:szCs w:val="22"/>
        </w:rPr>
      </w:pPr>
    </w:p>
    <w:p>
      <w:pPr>
        <w:rPr>
          <w:color w:val="auto"/>
          <w:sz w:val="28"/>
          <w:szCs w:val="22"/>
        </w:rPr>
      </w:pPr>
    </w:p>
    <w:p>
      <w:pPr>
        <w:rPr>
          <w:color w:val="auto"/>
          <w:sz w:val="28"/>
          <w:szCs w:val="22"/>
        </w:rPr>
      </w:pPr>
    </w:p>
    <w:p>
      <w:pPr>
        <w:jc w:val="right"/>
        <w:rPr>
          <w:color w:val="auto"/>
          <w:sz w:val="32"/>
          <w:szCs w:val="32"/>
        </w:rPr>
      </w:pPr>
      <w:r>
        <w:rPr>
          <w:rFonts w:hint="eastAsia"/>
          <w:color w:val="auto"/>
          <w:sz w:val="32"/>
          <w:szCs w:val="32"/>
        </w:rPr>
        <w:t>XXXXXXXX有限公司（盖章）</w:t>
      </w:r>
    </w:p>
    <w:p>
      <w:pPr>
        <w:rPr>
          <w:color w:val="auto"/>
          <w:sz w:val="32"/>
          <w:szCs w:val="32"/>
        </w:rPr>
      </w:pPr>
      <w:r>
        <w:rPr>
          <w:rFonts w:hint="eastAsia"/>
          <w:color w:val="auto"/>
          <w:sz w:val="32"/>
          <w:szCs w:val="32"/>
        </w:rPr>
        <w:t xml:space="preserve">                                     年   月   日</w:t>
      </w:r>
    </w:p>
    <w:p>
      <w:pPr>
        <w:spacing w:after="0" w:line="520" w:lineRule="exact"/>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pStyle w:val="2"/>
        <w:rPr>
          <w:rFonts w:ascii="宋体" w:hAnsi="宋体" w:eastAsia="宋体" w:cs="宋体"/>
          <w:color w:val="auto"/>
        </w:rPr>
      </w:pPr>
    </w:p>
    <w:p>
      <w:pPr>
        <w:jc w:val="center"/>
        <w:rPr>
          <w:rFonts w:hint="eastAsia" w:ascii="宋体" w:hAnsi="宋体" w:eastAsia="宋体" w:cs="宋体"/>
          <w:b/>
          <w:color w:val="auto"/>
          <w:sz w:val="30"/>
          <w:szCs w:val="30"/>
        </w:rPr>
      </w:pPr>
    </w:p>
    <w:p>
      <w:pPr>
        <w:jc w:val="center"/>
        <w:rPr>
          <w:rFonts w:hint="eastAsia" w:ascii="宋体" w:hAnsi="宋体" w:eastAsia="宋体" w:cs="宋体"/>
          <w:b/>
          <w:color w:val="auto"/>
          <w:sz w:val="30"/>
          <w:szCs w:val="30"/>
        </w:rPr>
      </w:pPr>
    </w:p>
    <w:p>
      <w:pPr>
        <w:jc w:val="center"/>
        <w:rPr>
          <w:rFonts w:hint="eastAsia" w:ascii="宋体" w:hAnsi="宋体" w:eastAsia="宋体" w:cs="宋体"/>
          <w:b/>
          <w:color w:val="auto"/>
          <w:sz w:val="30"/>
          <w:szCs w:val="30"/>
        </w:rPr>
      </w:pPr>
    </w:p>
    <w:p>
      <w:pPr>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合同特殊条款</w:t>
      </w:r>
    </w:p>
    <w:p>
      <w:pPr>
        <w:keepNext w:val="0"/>
        <w:keepLines w:val="0"/>
        <w:pageBreakBefore w:val="0"/>
        <w:widowControl/>
        <w:tabs>
          <w:tab w:val="left" w:pos="360"/>
        </w:tabs>
        <w:kinsoku/>
        <w:wordWrap/>
        <w:overflowPunct/>
        <w:topLinePunct w:val="0"/>
        <w:autoSpaceDE/>
        <w:autoSpaceDN/>
        <w:bidi w:val="0"/>
        <w:adjustRightInd/>
        <w:snapToGrid/>
        <w:spacing w:after="0" w:line="520" w:lineRule="exact"/>
        <w:ind w:firstLine="39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合同特殊条款是合同一般条款的补充和修改。如果两者之间有抵触，应以特殊条款为准。</w:t>
      </w:r>
    </w:p>
    <w:p>
      <w:pPr>
        <w:keepNext w:val="0"/>
        <w:keepLines w:val="0"/>
        <w:pageBreakBefore w:val="0"/>
        <w:widowControl/>
        <w:tabs>
          <w:tab w:val="left" w:pos="360"/>
        </w:tabs>
        <w:kinsoku/>
        <w:wordWrap/>
        <w:overflowPunct/>
        <w:topLinePunct w:val="0"/>
        <w:autoSpaceDE/>
        <w:autoSpaceDN/>
        <w:bidi w:val="0"/>
        <w:adjustRightInd/>
        <w:snapToGrid/>
        <w:spacing w:after="0" w:line="520" w:lineRule="exact"/>
        <w:ind w:firstLine="39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合同特殊条款由中标单位和货物需求方及代理方根据货物（或工程、服务）项目的具体情况协商拟订。</w:t>
      </w:r>
    </w:p>
    <w:p>
      <w:pPr>
        <w:keepNext w:val="0"/>
        <w:keepLines w:val="0"/>
        <w:pageBreakBefore w:val="0"/>
        <w:widowControl/>
        <w:tabs>
          <w:tab w:val="left" w:pos="360"/>
        </w:tabs>
        <w:kinsoku/>
        <w:wordWrap/>
        <w:overflowPunct/>
        <w:topLinePunct w:val="0"/>
        <w:autoSpaceDE/>
        <w:autoSpaceDN/>
        <w:bidi w:val="0"/>
        <w:adjustRightInd/>
        <w:snapToGrid/>
        <w:spacing w:after="0" w:line="520" w:lineRule="exact"/>
        <w:ind w:firstLine="39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附件1.合同设备清单</w:t>
      </w:r>
    </w:p>
    <w:p>
      <w:pPr>
        <w:keepNext w:val="0"/>
        <w:keepLines w:val="0"/>
        <w:pageBreakBefore w:val="0"/>
        <w:widowControl/>
        <w:tabs>
          <w:tab w:val="left" w:pos="360"/>
        </w:tabs>
        <w:kinsoku/>
        <w:wordWrap/>
        <w:overflowPunct/>
        <w:topLinePunct w:val="0"/>
        <w:autoSpaceDE/>
        <w:autoSpaceDN/>
        <w:bidi w:val="0"/>
        <w:adjustRightInd/>
        <w:snapToGrid/>
        <w:spacing w:after="0" w:line="520" w:lineRule="exact"/>
        <w:ind w:firstLine="39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附件2.保修及售后服务条款</w:t>
      </w:r>
    </w:p>
    <w:p>
      <w:pPr>
        <w:keepNext w:val="0"/>
        <w:keepLines w:val="0"/>
        <w:pageBreakBefore w:val="0"/>
        <w:widowControl/>
        <w:tabs>
          <w:tab w:val="left" w:pos="360"/>
        </w:tabs>
        <w:kinsoku/>
        <w:wordWrap/>
        <w:overflowPunct/>
        <w:topLinePunct w:val="0"/>
        <w:autoSpaceDE/>
        <w:autoSpaceDN/>
        <w:bidi w:val="0"/>
        <w:adjustRightInd/>
        <w:snapToGrid/>
        <w:spacing w:after="0" w:line="520" w:lineRule="exact"/>
        <w:ind w:firstLine="390" w:firstLineChars="171"/>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附件3.供应商应答表</w:t>
      </w:r>
    </w:p>
    <w:p>
      <w:pPr>
        <w:rPr>
          <w:rFonts w:hint="eastAsia" w:ascii="宋体" w:hAnsi="宋体" w:cs="宋体"/>
          <w:b/>
          <w:color w:val="auto"/>
          <w:sz w:val="24"/>
          <w:szCs w:val="24"/>
        </w:rPr>
      </w:pPr>
    </w:p>
    <w:p>
      <w:pPr>
        <w:rPr>
          <w:rFonts w:hint="eastAsia" w:ascii="宋体" w:hAnsi="宋体" w:cs="宋体"/>
          <w:b/>
          <w:color w:val="auto"/>
          <w:sz w:val="24"/>
          <w:szCs w:val="24"/>
        </w:rPr>
      </w:pPr>
    </w:p>
    <w:p>
      <w:pPr>
        <w:rPr>
          <w:rFonts w:ascii="宋体" w:hAnsi="宋体" w:cs="宋体"/>
          <w:b/>
          <w:color w:val="auto"/>
          <w:sz w:val="24"/>
          <w:szCs w:val="24"/>
        </w:rPr>
      </w:pPr>
      <w:r>
        <w:rPr>
          <w:rFonts w:hint="eastAsia" w:ascii="宋体" w:hAnsi="宋体" w:cs="宋体"/>
          <w:b/>
          <w:color w:val="auto"/>
          <w:sz w:val="24"/>
          <w:szCs w:val="24"/>
        </w:rPr>
        <w:t>合同签订说明：</w:t>
      </w:r>
    </w:p>
    <w:p>
      <w:pPr>
        <w:spacing w:after="0" w:line="480" w:lineRule="exact"/>
        <w:rPr>
          <w:rFonts w:ascii="宋体" w:hAnsi="宋体" w:cs="宋体"/>
          <w:b/>
          <w:color w:val="auto"/>
          <w:sz w:val="24"/>
          <w:szCs w:val="24"/>
        </w:rPr>
      </w:pPr>
      <w:r>
        <w:rPr>
          <w:rFonts w:hint="eastAsia" w:ascii="宋体" w:hAnsi="宋体" w:cs="宋体"/>
          <w:b/>
          <w:color w:val="auto"/>
          <w:sz w:val="24"/>
          <w:szCs w:val="24"/>
        </w:rPr>
        <w:t>1.本合同范本根据《政府采购法》、《</w:t>
      </w:r>
      <w:r>
        <w:rPr>
          <w:rFonts w:hint="eastAsia" w:ascii="宋体" w:hAnsi="宋体" w:cs="宋体"/>
          <w:b/>
          <w:color w:val="auto"/>
          <w:sz w:val="24"/>
          <w:szCs w:val="24"/>
          <w:lang w:val="en-US" w:eastAsia="zh-CN"/>
        </w:rPr>
        <w:t>中华人民共和国民法典</w:t>
      </w:r>
      <w:r>
        <w:rPr>
          <w:rFonts w:hint="eastAsia" w:ascii="宋体" w:hAnsi="宋体" w:cs="宋体"/>
          <w:b/>
          <w:color w:val="auto"/>
          <w:sz w:val="24"/>
          <w:szCs w:val="24"/>
        </w:rPr>
        <w:t>》等法律法规制定。具体项目的采购合同条款，在本范本框架内由成交单位和采购单位双方协商一致签订。</w:t>
      </w:r>
    </w:p>
    <w:p>
      <w:pPr>
        <w:spacing w:after="0" w:line="480" w:lineRule="exact"/>
        <w:rPr>
          <w:rFonts w:ascii="宋体" w:hAnsi="宋体" w:cs="宋体"/>
          <w:b/>
          <w:color w:val="auto"/>
          <w:sz w:val="24"/>
          <w:szCs w:val="24"/>
        </w:rPr>
      </w:pPr>
      <w:r>
        <w:rPr>
          <w:rFonts w:hint="eastAsia" w:ascii="宋体" w:hAnsi="宋体" w:cs="宋体"/>
          <w:b/>
          <w:color w:val="auto"/>
          <w:sz w:val="24"/>
          <w:szCs w:val="24"/>
        </w:rPr>
        <w:t>2.收款单位名称应与成交单位名称、项目中标单位名称、开具发票单位名称相一致。</w:t>
      </w:r>
    </w:p>
    <w:p>
      <w:pPr>
        <w:spacing w:after="0" w:line="480" w:lineRule="exact"/>
        <w:rPr>
          <w:rFonts w:ascii="宋体" w:hAnsi="宋体" w:cs="宋体"/>
          <w:b/>
          <w:color w:val="auto"/>
          <w:sz w:val="24"/>
          <w:szCs w:val="24"/>
        </w:rPr>
      </w:pPr>
      <w:r>
        <w:rPr>
          <w:rFonts w:hint="eastAsia" w:ascii="宋体" w:hAnsi="宋体" w:cs="宋体"/>
          <w:b/>
          <w:color w:val="auto"/>
          <w:sz w:val="24"/>
          <w:szCs w:val="24"/>
        </w:rPr>
        <w:t>3.签订合同双方都应盖本单位公章或合同专用章，且应盖骑缝章。</w:t>
      </w:r>
    </w:p>
    <w:p>
      <w:pPr>
        <w:spacing w:after="0" w:line="480" w:lineRule="exact"/>
        <w:rPr>
          <w:rFonts w:ascii="宋体" w:hAnsi="宋体" w:cs="宋体"/>
          <w:b/>
          <w:color w:val="auto"/>
          <w:sz w:val="24"/>
          <w:szCs w:val="24"/>
        </w:rPr>
      </w:pPr>
      <w:r>
        <w:rPr>
          <w:rFonts w:hint="eastAsia" w:ascii="宋体" w:hAnsi="宋体" w:cs="宋体"/>
          <w:b/>
          <w:color w:val="auto"/>
          <w:sz w:val="24"/>
          <w:szCs w:val="24"/>
        </w:rPr>
        <w:t>4.除涉密项目外，根据《政府采购法实施条例》第50条规定：采购单位应当自政府采购合同签订之日起2个工作日内，将政府采购合同在省级以上人民政府财政部门指定的媒体上公告。</w:t>
      </w:r>
    </w:p>
    <w:p>
      <w:pPr>
        <w:spacing w:after="0" w:line="480" w:lineRule="exact"/>
        <w:rPr>
          <w:rFonts w:ascii="宋体" w:hAnsi="宋体" w:cs="宋体"/>
          <w:b/>
          <w:color w:val="auto"/>
          <w:sz w:val="24"/>
          <w:szCs w:val="24"/>
        </w:rPr>
      </w:pPr>
      <w:r>
        <w:rPr>
          <w:rFonts w:hint="eastAsia" w:ascii="宋体" w:hAnsi="宋体" w:cs="宋体"/>
          <w:b/>
          <w:color w:val="auto"/>
          <w:sz w:val="24"/>
          <w:szCs w:val="24"/>
        </w:rPr>
        <w:t>5.根据《政府采购法》第49条规定：政府采购合同履行中，采购人需追加与合同标的相同的服务的，在不改变合同其他条款的前提下，可以与原成交单位协商签订补充合同，但所有补充合同的采购金额不得超过原合同采购金额的百分之十。</w:t>
      </w:r>
    </w:p>
    <w:p>
      <w:pPr>
        <w:spacing w:after="0" w:line="480" w:lineRule="exact"/>
        <w:rPr>
          <w:rFonts w:ascii="宋体" w:hAnsi="宋体" w:cs="宋体"/>
          <w:b/>
          <w:color w:val="auto"/>
          <w:sz w:val="24"/>
          <w:szCs w:val="24"/>
        </w:rPr>
      </w:pPr>
      <w:r>
        <w:rPr>
          <w:rFonts w:hint="eastAsia" w:ascii="宋体" w:hAnsi="宋体" w:cs="宋体"/>
          <w:b/>
          <w:color w:val="auto"/>
          <w:sz w:val="24"/>
          <w:szCs w:val="24"/>
        </w:rPr>
        <w:t>6.根据《政府采购法》第50条规定：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pStyle w:val="3"/>
        <w:jc w:val="center"/>
        <w:rPr>
          <w:rFonts w:ascii="宋体" w:hAnsi="宋体" w:cs="宋体"/>
          <w:color w:val="auto"/>
          <w:sz w:val="30"/>
          <w:szCs w:val="30"/>
        </w:rPr>
      </w:pPr>
      <w:bookmarkStart w:id="14" w:name="_Toc521247253"/>
      <w:r>
        <w:rPr>
          <w:rFonts w:hint="eastAsia" w:ascii="宋体" w:hAnsi="宋体" w:cs="宋体"/>
          <w:color w:val="auto"/>
          <w:sz w:val="30"/>
          <w:szCs w:val="30"/>
        </w:rPr>
        <w:t>第五部分 投标文件格式</w:t>
      </w:r>
      <w:bookmarkEnd w:id="14"/>
    </w:p>
    <w:p>
      <w:pPr>
        <w:jc w:val="center"/>
        <w:rPr>
          <w:rFonts w:hint="eastAsia" w:ascii="宋体" w:hAnsi="宋体" w:cs="宋体"/>
          <w:b/>
          <w:color w:val="auto"/>
          <w:sz w:val="24"/>
          <w:szCs w:val="24"/>
        </w:rPr>
      </w:pPr>
    </w:p>
    <w:p>
      <w:pPr>
        <w:jc w:val="center"/>
        <w:rPr>
          <w:rFonts w:ascii="宋体" w:hAnsi="宋体" w:cs="宋体"/>
          <w:b/>
          <w:color w:val="auto"/>
          <w:sz w:val="24"/>
          <w:szCs w:val="24"/>
        </w:rPr>
      </w:pPr>
      <w:r>
        <w:rPr>
          <w:rFonts w:hint="eastAsia" w:ascii="宋体" w:hAnsi="宋体" w:cs="宋体"/>
          <w:b/>
          <w:color w:val="auto"/>
          <w:sz w:val="24"/>
          <w:szCs w:val="24"/>
        </w:rPr>
        <w:t>投标文件封面格式</w:t>
      </w:r>
    </w:p>
    <w:p>
      <w:pPr>
        <w:rPr>
          <w:rFonts w:ascii="宋体" w:hAnsi="宋体" w:cs="宋体"/>
          <w:color w:val="auto"/>
          <w:sz w:val="24"/>
          <w:szCs w:val="24"/>
        </w:rPr>
      </w:pPr>
    </w:p>
    <w:p>
      <w:pPr>
        <w:rPr>
          <w:rFonts w:ascii="宋体" w:hAnsi="宋体" w:cs="宋体"/>
          <w:color w:val="auto"/>
          <w:sz w:val="24"/>
          <w:szCs w:val="24"/>
        </w:rPr>
      </w:pPr>
    </w:p>
    <w:p>
      <w:pPr>
        <w:jc w:val="center"/>
        <w:rPr>
          <w:rFonts w:ascii="宋体" w:hAnsi="宋体" w:cs="宋体"/>
          <w:b/>
          <w:color w:val="auto"/>
          <w:sz w:val="84"/>
          <w:szCs w:val="84"/>
        </w:rPr>
      </w:pPr>
      <w:r>
        <w:rPr>
          <w:rFonts w:hint="eastAsia" w:ascii="宋体" w:hAnsi="宋体" w:cs="宋体"/>
          <w:b/>
          <w:color w:val="auto"/>
          <w:sz w:val="84"/>
          <w:szCs w:val="84"/>
        </w:rPr>
        <w:t>投 标 文 件</w:t>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keepNext w:val="0"/>
        <w:keepLines w:val="0"/>
        <w:pageBreakBefore w:val="0"/>
        <w:widowControl/>
        <w:kinsoku/>
        <w:wordWrap/>
        <w:overflowPunct/>
        <w:topLinePunct w:val="0"/>
        <w:autoSpaceDE/>
        <w:autoSpaceDN/>
        <w:bidi w:val="0"/>
        <w:adjustRightInd/>
        <w:snapToGrid/>
        <w:spacing w:after="0"/>
        <w:textAlignment w:val="auto"/>
        <w:rPr>
          <w:rFonts w:ascii="宋体" w:hAnsi="宋体" w:cs="宋体"/>
          <w:b/>
          <w:color w:val="auto"/>
          <w:sz w:val="32"/>
          <w:szCs w:val="32"/>
        </w:rPr>
      </w:pPr>
      <w:r>
        <w:rPr>
          <w:rFonts w:hint="eastAsia" w:ascii="宋体" w:hAnsi="宋体" w:cs="宋体"/>
          <w:b/>
          <w:color w:val="auto"/>
          <w:sz w:val="32"/>
          <w:szCs w:val="32"/>
        </w:rPr>
        <w:t>项目名称：</w:t>
      </w:r>
    </w:p>
    <w:p>
      <w:pPr>
        <w:keepNext w:val="0"/>
        <w:keepLines w:val="0"/>
        <w:pageBreakBefore w:val="0"/>
        <w:widowControl/>
        <w:kinsoku/>
        <w:wordWrap/>
        <w:overflowPunct/>
        <w:topLinePunct w:val="0"/>
        <w:autoSpaceDE/>
        <w:autoSpaceDN/>
        <w:bidi w:val="0"/>
        <w:adjustRightInd/>
        <w:snapToGrid/>
        <w:spacing w:after="0"/>
        <w:textAlignment w:val="auto"/>
        <w:rPr>
          <w:rFonts w:ascii="宋体" w:hAnsi="宋体" w:cs="宋体"/>
          <w:b/>
          <w:color w:val="auto"/>
          <w:sz w:val="32"/>
          <w:szCs w:val="32"/>
        </w:rPr>
      </w:pPr>
      <w:r>
        <w:rPr>
          <w:rFonts w:hint="eastAsia" w:ascii="宋体" w:hAnsi="宋体" w:cs="宋体"/>
          <w:b/>
          <w:color w:val="auto"/>
          <w:sz w:val="32"/>
          <w:szCs w:val="32"/>
        </w:rPr>
        <w:t>项目编号：</w:t>
      </w:r>
    </w:p>
    <w:p>
      <w:pPr>
        <w:keepNext w:val="0"/>
        <w:keepLines w:val="0"/>
        <w:pageBreakBefore w:val="0"/>
        <w:widowControl/>
        <w:kinsoku/>
        <w:wordWrap/>
        <w:overflowPunct/>
        <w:topLinePunct w:val="0"/>
        <w:autoSpaceDE/>
        <w:autoSpaceDN/>
        <w:bidi w:val="0"/>
        <w:adjustRightInd/>
        <w:snapToGrid/>
        <w:spacing w:after="0"/>
        <w:textAlignment w:val="auto"/>
        <w:rPr>
          <w:rFonts w:ascii="宋体" w:hAnsi="宋体" w:cs="宋体"/>
          <w:b/>
          <w:color w:val="auto"/>
          <w:sz w:val="32"/>
          <w:szCs w:val="32"/>
        </w:rPr>
      </w:pPr>
      <w:r>
        <w:rPr>
          <w:rFonts w:hint="eastAsia" w:ascii="宋体" w:hAnsi="宋体" w:cs="宋体"/>
          <w:b/>
          <w:color w:val="auto"/>
          <w:sz w:val="32"/>
          <w:szCs w:val="32"/>
          <w:lang w:eastAsia="zh-CN"/>
        </w:rPr>
        <w:t>供应商</w:t>
      </w:r>
      <w:r>
        <w:rPr>
          <w:rFonts w:hint="eastAsia" w:ascii="宋体" w:hAnsi="宋体" w:cs="宋体"/>
          <w:b/>
          <w:color w:val="auto"/>
          <w:sz w:val="32"/>
          <w:szCs w:val="32"/>
        </w:rPr>
        <w:t>名称：</w:t>
      </w:r>
    </w:p>
    <w:p>
      <w:pPr>
        <w:keepNext w:val="0"/>
        <w:keepLines w:val="0"/>
        <w:pageBreakBefore w:val="0"/>
        <w:widowControl/>
        <w:kinsoku/>
        <w:wordWrap/>
        <w:overflowPunct/>
        <w:topLinePunct w:val="0"/>
        <w:autoSpaceDE/>
        <w:autoSpaceDN/>
        <w:bidi w:val="0"/>
        <w:adjustRightInd/>
        <w:snapToGrid/>
        <w:spacing w:after="0"/>
        <w:textAlignment w:val="auto"/>
        <w:rPr>
          <w:rFonts w:ascii="宋体" w:hAnsi="宋体" w:cs="宋体"/>
          <w:b/>
          <w:color w:val="auto"/>
          <w:sz w:val="32"/>
          <w:szCs w:val="32"/>
        </w:rPr>
      </w:pPr>
      <w:r>
        <w:rPr>
          <w:rFonts w:hint="eastAsia" w:ascii="宋体" w:hAnsi="宋体" w:cs="宋体"/>
          <w:b/>
          <w:color w:val="auto"/>
          <w:sz w:val="32"/>
          <w:szCs w:val="32"/>
          <w:lang w:eastAsia="zh-CN"/>
        </w:rPr>
        <w:t>供应商</w:t>
      </w:r>
      <w:r>
        <w:rPr>
          <w:rFonts w:hint="eastAsia" w:ascii="宋体" w:hAnsi="宋体" w:cs="宋体"/>
          <w:b/>
          <w:color w:val="auto"/>
          <w:sz w:val="32"/>
          <w:szCs w:val="32"/>
        </w:rPr>
        <w:t>地址：</w:t>
      </w:r>
    </w:p>
    <w:p>
      <w:pPr>
        <w:keepNext w:val="0"/>
        <w:keepLines w:val="0"/>
        <w:pageBreakBefore w:val="0"/>
        <w:widowControl/>
        <w:kinsoku/>
        <w:wordWrap/>
        <w:overflowPunct/>
        <w:topLinePunct w:val="0"/>
        <w:autoSpaceDE/>
        <w:autoSpaceDN/>
        <w:bidi w:val="0"/>
        <w:adjustRightInd/>
        <w:snapToGrid/>
        <w:spacing w:after="0"/>
        <w:textAlignment w:val="auto"/>
        <w:rPr>
          <w:rFonts w:ascii="宋体" w:hAnsi="宋体" w:cs="宋体"/>
          <w:b/>
          <w:color w:val="auto"/>
          <w:sz w:val="32"/>
          <w:szCs w:val="32"/>
        </w:rPr>
      </w:pPr>
      <w:r>
        <w:rPr>
          <w:rFonts w:hint="eastAsia" w:ascii="宋体" w:hAnsi="宋体" w:cs="宋体"/>
          <w:b/>
          <w:color w:val="auto"/>
          <w:sz w:val="32"/>
          <w:szCs w:val="32"/>
        </w:rPr>
        <w:t>法定代表人：</w:t>
      </w:r>
    </w:p>
    <w:p>
      <w:pPr>
        <w:keepNext w:val="0"/>
        <w:keepLines w:val="0"/>
        <w:pageBreakBefore w:val="0"/>
        <w:widowControl/>
        <w:kinsoku/>
        <w:wordWrap/>
        <w:overflowPunct/>
        <w:topLinePunct w:val="0"/>
        <w:autoSpaceDE/>
        <w:autoSpaceDN/>
        <w:bidi w:val="0"/>
        <w:adjustRightInd/>
        <w:snapToGrid/>
        <w:spacing w:after="0"/>
        <w:textAlignment w:val="auto"/>
        <w:rPr>
          <w:rFonts w:ascii="宋体" w:hAnsi="宋体" w:cs="宋体"/>
          <w:b/>
          <w:color w:val="auto"/>
          <w:sz w:val="32"/>
          <w:szCs w:val="32"/>
        </w:rPr>
      </w:pPr>
      <w:r>
        <w:rPr>
          <w:rFonts w:hint="eastAsia" w:ascii="宋体" w:hAnsi="宋体" w:cs="宋体"/>
          <w:b/>
          <w:color w:val="auto"/>
          <w:sz w:val="32"/>
          <w:szCs w:val="32"/>
          <w:lang w:eastAsia="zh-CN"/>
        </w:rPr>
        <w:t>供应商</w:t>
      </w:r>
      <w:r>
        <w:rPr>
          <w:rFonts w:hint="eastAsia" w:ascii="宋体" w:hAnsi="宋体" w:cs="宋体"/>
          <w:b/>
          <w:color w:val="auto"/>
          <w:sz w:val="32"/>
          <w:szCs w:val="32"/>
        </w:rPr>
        <w:t>代表：</w:t>
      </w:r>
    </w:p>
    <w:p>
      <w:pPr>
        <w:keepNext w:val="0"/>
        <w:keepLines w:val="0"/>
        <w:pageBreakBefore w:val="0"/>
        <w:widowControl/>
        <w:kinsoku/>
        <w:wordWrap/>
        <w:overflowPunct/>
        <w:topLinePunct w:val="0"/>
        <w:autoSpaceDE/>
        <w:autoSpaceDN/>
        <w:bidi w:val="0"/>
        <w:adjustRightInd/>
        <w:snapToGrid/>
        <w:spacing w:after="0"/>
        <w:textAlignment w:val="auto"/>
        <w:rPr>
          <w:rFonts w:ascii="宋体" w:hAnsi="宋体" w:cs="宋体"/>
          <w:b/>
          <w:color w:val="auto"/>
          <w:sz w:val="32"/>
          <w:szCs w:val="32"/>
        </w:rPr>
      </w:pPr>
      <w:r>
        <w:rPr>
          <w:rFonts w:hint="eastAsia" w:ascii="宋体" w:hAnsi="宋体" w:cs="宋体"/>
          <w:b/>
          <w:color w:val="auto"/>
          <w:sz w:val="32"/>
          <w:szCs w:val="32"/>
        </w:rPr>
        <w:t>投标日期：</w:t>
      </w:r>
    </w:p>
    <w:p>
      <w:pPr>
        <w:rPr>
          <w:rFonts w:ascii="宋体" w:hAnsi="宋体" w:cs="宋体"/>
          <w:color w:val="auto"/>
          <w:sz w:val="24"/>
          <w:szCs w:val="24"/>
        </w:rPr>
      </w:pPr>
      <w:r>
        <w:rPr>
          <w:rFonts w:hint="eastAsia" w:ascii="宋体" w:hAnsi="宋体" w:cs="宋体"/>
          <w:color w:val="auto"/>
          <w:sz w:val="24"/>
          <w:szCs w:val="24"/>
        </w:rPr>
        <w:br w:type="page"/>
      </w:r>
    </w:p>
    <w:p>
      <w:pPr>
        <w:jc w:val="center"/>
        <w:rPr>
          <w:rFonts w:ascii="宋体" w:hAnsi="宋体" w:cs="宋体"/>
          <w:b/>
          <w:color w:val="auto"/>
          <w:sz w:val="24"/>
          <w:szCs w:val="24"/>
        </w:rPr>
      </w:pPr>
      <w:r>
        <w:rPr>
          <w:rFonts w:hint="eastAsia" w:ascii="宋体" w:hAnsi="宋体" w:cs="宋体"/>
          <w:b/>
          <w:color w:val="auto"/>
          <w:sz w:val="24"/>
          <w:szCs w:val="24"/>
        </w:rPr>
        <w:t>投标文件总目录</w:t>
      </w:r>
    </w:p>
    <w:p>
      <w:pPr>
        <w:jc w:val="center"/>
        <w:rPr>
          <w:rFonts w:ascii="宋体" w:hAnsi="宋体" w:cs="宋体"/>
          <w:color w:val="auto"/>
          <w:sz w:val="24"/>
          <w:szCs w:val="24"/>
        </w:rPr>
      </w:pPr>
      <w:r>
        <w:rPr>
          <w:rFonts w:hint="eastAsia" w:ascii="宋体" w:hAnsi="宋体" w:cs="宋体"/>
          <w:b/>
          <w:bCs/>
          <w:color w:val="auto"/>
          <w:sz w:val="24"/>
        </w:rPr>
        <w:t>（需</w:t>
      </w:r>
      <w:r>
        <w:rPr>
          <w:rFonts w:hint="eastAsia" w:ascii="宋体" w:hAnsi="宋体" w:cs="宋体"/>
          <w:b/>
          <w:bCs/>
          <w:color w:val="auto"/>
          <w:sz w:val="24"/>
          <w:lang w:eastAsia="zh-CN"/>
        </w:rPr>
        <w:t>供应商</w:t>
      </w:r>
      <w:r>
        <w:rPr>
          <w:rFonts w:hint="eastAsia" w:ascii="宋体" w:hAnsi="宋体" w:cs="宋体"/>
          <w:b/>
          <w:bCs/>
          <w:color w:val="auto"/>
          <w:sz w:val="24"/>
        </w:rPr>
        <w:t>按招标文件的规定格式自行编制）</w:t>
      </w:r>
    </w:p>
    <w:p>
      <w:pPr>
        <w:rPr>
          <w:rFonts w:ascii="宋体" w:hAnsi="宋体" w:cs="宋体"/>
          <w:color w:val="auto"/>
          <w:sz w:val="24"/>
          <w:szCs w:val="24"/>
        </w:rPr>
      </w:pPr>
    </w:p>
    <w:p>
      <w:pPr>
        <w:rPr>
          <w:rFonts w:ascii="宋体" w:hAnsi="宋体" w:cs="宋体"/>
          <w:color w:val="auto"/>
          <w:sz w:val="24"/>
          <w:szCs w:val="24"/>
        </w:rPr>
      </w:pPr>
      <w:r>
        <w:rPr>
          <w:rFonts w:hint="eastAsia" w:ascii="宋体" w:hAnsi="宋体" w:cs="宋体"/>
          <w:color w:val="auto"/>
          <w:sz w:val="24"/>
          <w:szCs w:val="24"/>
        </w:rPr>
        <w:br w:type="page"/>
      </w:r>
    </w:p>
    <w:p>
      <w:pPr>
        <w:jc w:val="center"/>
        <w:rPr>
          <w:rFonts w:ascii="宋体" w:hAnsi="宋体" w:cs="宋体"/>
          <w:b/>
          <w:color w:val="auto"/>
          <w:sz w:val="24"/>
          <w:szCs w:val="24"/>
        </w:rPr>
      </w:pPr>
      <w:r>
        <w:rPr>
          <w:rFonts w:hint="eastAsia" w:ascii="宋体" w:hAnsi="宋体" w:cs="宋体"/>
          <w:b/>
          <w:color w:val="auto"/>
          <w:sz w:val="24"/>
          <w:szCs w:val="24"/>
        </w:rPr>
        <w:t>评分因素及评标标准页码检索</w:t>
      </w:r>
    </w:p>
    <w:p>
      <w:pPr>
        <w:rPr>
          <w:rFonts w:ascii="宋体" w:hAnsi="宋体" w:cs="宋体"/>
          <w:color w:val="auto"/>
          <w:sz w:val="24"/>
          <w:szCs w:val="24"/>
        </w:rPr>
      </w:pPr>
      <w:r>
        <w:rPr>
          <w:rFonts w:hint="eastAsia" w:ascii="宋体" w:hAnsi="宋体" w:cs="宋体"/>
          <w:color w:val="auto"/>
          <w:sz w:val="24"/>
          <w:szCs w:val="24"/>
        </w:rPr>
        <w:t>（需</w:t>
      </w:r>
      <w:r>
        <w:rPr>
          <w:rFonts w:hint="eastAsia" w:ascii="宋体" w:hAnsi="宋体" w:cs="宋体"/>
          <w:color w:val="auto"/>
          <w:sz w:val="24"/>
          <w:szCs w:val="24"/>
          <w:lang w:eastAsia="zh-CN"/>
        </w:rPr>
        <w:t>供应商</w:t>
      </w:r>
      <w:r>
        <w:rPr>
          <w:rFonts w:hint="eastAsia" w:ascii="宋体" w:hAnsi="宋体" w:cs="宋体"/>
          <w:color w:val="auto"/>
          <w:sz w:val="24"/>
          <w:szCs w:val="24"/>
        </w:rPr>
        <w:t>按招标文件“评分因素及评标标准”中每个评分项逐项列明页码）</w:t>
      </w:r>
    </w:p>
    <w:p>
      <w:pPr>
        <w:rPr>
          <w:rFonts w:ascii="宋体" w:hAnsi="宋体" w:cs="宋体"/>
          <w:b/>
          <w:color w:val="auto"/>
          <w:sz w:val="24"/>
          <w:szCs w:val="24"/>
        </w:rPr>
      </w:pPr>
      <w:r>
        <w:rPr>
          <w:rFonts w:hint="eastAsia" w:ascii="宋体" w:hAnsi="宋体" w:cs="宋体"/>
          <w:color w:val="auto"/>
          <w:sz w:val="24"/>
          <w:szCs w:val="24"/>
        </w:rPr>
        <w:br w:type="page"/>
      </w:r>
      <w:r>
        <w:rPr>
          <w:rFonts w:hint="eastAsia" w:ascii="宋体" w:hAnsi="宋体" w:cs="宋体"/>
          <w:b/>
          <w:color w:val="auto"/>
          <w:sz w:val="24"/>
          <w:szCs w:val="24"/>
        </w:rPr>
        <w:t>附件1</w:t>
      </w:r>
    </w:p>
    <w:p>
      <w:pPr>
        <w:jc w:val="center"/>
        <w:rPr>
          <w:rFonts w:ascii="宋体" w:hAnsi="宋体" w:cs="宋体"/>
          <w:b/>
          <w:color w:val="auto"/>
          <w:sz w:val="24"/>
          <w:szCs w:val="24"/>
        </w:rPr>
      </w:pPr>
      <w:r>
        <w:rPr>
          <w:rFonts w:hint="eastAsia" w:ascii="宋体" w:hAnsi="宋体" w:cs="宋体"/>
          <w:b/>
          <w:color w:val="auto"/>
          <w:sz w:val="24"/>
          <w:szCs w:val="24"/>
        </w:rPr>
        <w:t>投标书</w:t>
      </w:r>
    </w:p>
    <w:p>
      <w:pPr>
        <w:spacing w:after="0" w:line="560" w:lineRule="exact"/>
        <w:rPr>
          <w:rFonts w:ascii="宋体" w:hAnsi="宋体" w:cs="宋体"/>
          <w:color w:val="auto"/>
          <w:sz w:val="24"/>
          <w:szCs w:val="24"/>
        </w:rPr>
      </w:pPr>
      <w:r>
        <w:rPr>
          <w:rFonts w:hint="eastAsia" w:ascii="宋体" w:hAnsi="宋体" w:cs="宋体"/>
          <w:color w:val="auto"/>
          <w:sz w:val="24"/>
          <w:szCs w:val="24"/>
        </w:rPr>
        <w:t>致：天津晟辰工程造价咨询有限公司</w:t>
      </w:r>
    </w:p>
    <w:p>
      <w:pPr>
        <w:spacing w:after="0" w:line="560" w:lineRule="exact"/>
        <w:ind w:firstLine="335" w:firstLineChars="147"/>
        <w:rPr>
          <w:rFonts w:ascii="宋体" w:hAnsi="宋体" w:cs="宋体"/>
          <w:color w:val="auto"/>
          <w:sz w:val="24"/>
          <w:szCs w:val="24"/>
        </w:rPr>
      </w:pPr>
      <w:r>
        <w:rPr>
          <w:rFonts w:hint="eastAsia" w:ascii="宋体" w:hAnsi="宋体" w:cs="宋体"/>
          <w:color w:val="auto"/>
          <w:sz w:val="24"/>
          <w:szCs w:val="24"/>
        </w:rPr>
        <w:t>根据贵方为项目（项目编号：）的投标邀请，签字代表（姓名/职务）经正式授权并代表我公司（投标单位名称、地址）提交投标文件正本一份（含office文档电子</w:t>
      </w:r>
      <w:r>
        <w:rPr>
          <w:rFonts w:hint="eastAsia" w:ascii="宋体" w:hAnsi="宋体" w:cs="宋体"/>
          <w:color w:val="auto"/>
          <w:sz w:val="24"/>
          <w:szCs w:val="24"/>
          <w:lang w:eastAsia="zh-CN"/>
        </w:rPr>
        <w:t>U盘</w:t>
      </w:r>
      <w:r>
        <w:rPr>
          <w:rFonts w:hint="eastAsia" w:ascii="宋体" w:hAnsi="宋体" w:cs="宋体"/>
          <w:color w:val="auto"/>
          <w:sz w:val="24"/>
          <w:szCs w:val="24"/>
        </w:rPr>
        <w:t>）、副本四份。</w:t>
      </w:r>
    </w:p>
    <w:p>
      <w:pPr>
        <w:spacing w:after="0" w:line="560" w:lineRule="exact"/>
        <w:rPr>
          <w:rFonts w:ascii="宋体" w:hAnsi="宋体" w:cs="宋体"/>
          <w:color w:val="auto"/>
          <w:sz w:val="24"/>
          <w:szCs w:val="24"/>
        </w:rPr>
      </w:pPr>
      <w:r>
        <w:rPr>
          <w:rFonts w:hint="eastAsia" w:ascii="宋体" w:hAnsi="宋体" w:cs="宋体"/>
          <w:color w:val="auto"/>
          <w:sz w:val="24"/>
          <w:szCs w:val="24"/>
        </w:rPr>
        <w:t>据此函，签字代表宣布同意如下：</w:t>
      </w:r>
    </w:p>
    <w:p>
      <w:pPr>
        <w:spacing w:after="0" w:line="560" w:lineRule="exact"/>
        <w:ind w:firstLine="436" w:firstLineChars="191"/>
        <w:rPr>
          <w:rFonts w:ascii="宋体" w:hAnsi="宋体" w:cs="宋体"/>
          <w:color w:val="auto"/>
          <w:sz w:val="24"/>
          <w:szCs w:val="24"/>
        </w:rPr>
      </w:pPr>
      <w:r>
        <w:rPr>
          <w:rFonts w:hint="eastAsia" w:ascii="宋体" w:hAnsi="宋体" w:cs="宋体"/>
          <w:color w:val="auto"/>
          <w:sz w:val="24"/>
          <w:szCs w:val="24"/>
        </w:rPr>
        <w:t>1. 所附投标报价表中规定的应提供和交付的货物投标总价为：</w:t>
      </w:r>
    </w:p>
    <w:p>
      <w:pPr>
        <w:spacing w:after="0" w:line="560" w:lineRule="exact"/>
        <w:ind w:firstLine="436" w:firstLineChars="191"/>
        <w:rPr>
          <w:rFonts w:ascii="宋体" w:hAnsi="宋体" w:cs="宋体"/>
          <w:color w:val="auto"/>
          <w:sz w:val="24"/>
          <w:szCs w:val="24"/>
        </w:rPr>
      </w:pPr>
      <w:r>
        <w:rPr>
          <w:rFonts w:hint="eastAsia" w:ascii="宋体" w:hAnsi="宋体" w:cs="宋体"/>
          <w:color w:val="auto"/>
          <w:sz w:val="24"/>
          <w:szCs w:val="24"/>
          <w:lang w:val="en-US" w:eastAsia="zh-CN"/>
        </w:rPr>
        <w:t>第一包，</w:t>
      </w:r>
      <w:r>
        <w:rPr>
          <w:rFonts w:hint="eastAsia" w:ascii="宋体" w:hAnsi="宋体" w:cs="宋体"/>
          <w:color w:val="auto"/>
          <w:sz w:val="24"/>
          <w:szCs w:val="24"/>
        </w:rPr>
        <w:t>￥元（人民币），大写。</w:t>
      </w:r>
    </w:p>
    <w:p>
      <w:pPr>
        <w:spacing w:after="0" w:line="560" w:lineRule="exact"/>
        <w:ind w:firstLine="436" w:firstLineChars="191"/>
        <w:rPr>
          <w:rFonts w:ascii="宋体" w:hAnsi="宋体" w:cs="宋体"/>
          <w:color w:val="auto"/>
          <w:sz w:val="24"/>
          <w:szCs w:val="24"/>
        </w:rPr>
      </w:pPr>
      <w:r>
        <w:rPr>
          <w:rFonts w:hint="eastAsia" w:ascii="宋体" w:hAnsi="宋体" w:cs="宋体"/>
          <w:color w:val="auto"/>
          <w:sz w:val="24"/>
          <w:szCs w:val="24"/>
        </w:rPr>
        <w:t>2.我公司将按招标文件的规定履行合同责任和义务。</w:t>
      </w:r>
    </w:p>
    <w:p>
      <w:pPr>
        <w:spacing w:after="0" w:line="560" w:lineRule="exact"/>
        <w:ind w:firstLine="436" w:firstLineChars="191"/>
        <w:rPr>
          <w:rFonts w:ascii="宋体" w:hAnsi="宋体" w:cs="宋体"/>
          <w:color w:val="auto"/>
          <w:sz w:val="24"/>
          <w:szCs w:val="24"/>
        </w:rPr>
      </w:pPr>
      <w:r>
        <w:rPr>
          <w:rFonts w:hint="eastAsia" w:ascii="宋体" w:hAnsi="宋体" w:cs="宋体"/>
          <w:color w:val="auto"/>
          <w:sz w:val="24"/>
          <w:szCs w:val="24"/>
        </w:rPr>
        <w:t>3.我公司已详细审查全部招标文件，包括更正公告以及全部参考资料和所有附件。我们认为全部招标文件（包括更正公告以及全部参考资料和所有附件）公平公正，无倾向性和排他性，我们完全理解并同意放弃对这方面有不明及误解的权利。</w:t>
      </w:r>
    </w:p>
    <w:p>
      <w:pPr>
        <w:spacing w:after="0" w:line="560" w:lineRule="exact"/>
        <w:ind w:firstLine="436" w:firstLineChars="191"/>
        <w:rPr>
          <w:rFonts w:ascii="宋体" w:hAnsi="宋体" w:cs="宋体"/>
          <w:color w:val="auto"/>
          <w:sz w:val="24"/>
          <w:szCs w:val="24"/>
        </w:rPr>
      </w:pPr>
      <w:r>
        <w:rPr>
          <w:rFonts w:hint="eastAsia" w:ascii="宋体" w:hAnsi="宋体" w:cs="宋体"/>
          <w:color w:val="auto"/>
          <w:sz w:val="24"/>
          <w:szCs w:val="24"/>
        </w:rPr>
        <w:t>4.我公司的投标有效期为开标之日起60天。</w:t>
      </w:r>
    </w:p>
    <w:p>
      <w:pPr>
        <w:spacing w:after="0" w:line="560" w:lineRule="exact"/>
        <w:ind w:firstLine="436" w:firstLineChars="191"/>
        <w:rPr>
          <w:rFonts w:ascii="宋体" w:hAnsi="宋体" w:cs="宋体"/>
          <w:color w:val="auto"/>
          <w:sz w:val="24"/>
          <w:szCs w:val="24"/>
        </w:rPr>
      </w:pPr>
      <w:r>
        <w:rPr>
          <w:rFonts w:hint="eastAsia" w:ascii="宋体" w:hAnsi="宋体" w:cs="宋体"/>
          <w:color w:val="auto"/>
          <w:sz w:val="24"/>
          <w:szCs w:val="24"/>
        </w:rPr>
        <w:t>5.我公司同意按照招标方要求提供的与投标有关的一切数据或资料，并声明投标文件及所提供的一切资料均真实有效。由于我公司提供资料不实而造成的责任和后果由我公司自行承担。</w:t>
      </w:r>
    </w:p>
    <w:p>
      <w:pPr>
        <w:spacing w:after="0" w:line="560" w:lineRule="exact"/>
        <w:ind w:firstLine="436" w:firstLineChars="191"/>
        <w:rPr>
          <w:rFonts w:ascii="宋体" w:hAnsi="宋体" w:cs="宋体"/>
          <w:color w:val="auto"/>
          <w:sz w:val="24"/>
          <w:szCs w:val="24"/>
        </w:rPr>
      </w:pPr>
      <w:r>
        <w:rPr>
          <w:rFonts w:hint="eastAsia" w:ascii="宋体" w:hAnsi="宋体" w:cs="宋体"/>
          <w:color w:val="auto"/>
          <w:sz w:val="24"/>
          <w:szCs w:val="24"/>
        </w:rPr>
        <w:t>6. 我公司保证所投产品来自合法的供货渠道，若中标，则有义务向采购人提供其需要的有效书面证明材料。如果提供非法渠道的商品，视为欺诈，并承担相关责任。</w:t>
      </w:r>
    </w:p>
    <w:p>
      <w:pPr>
        <w:spacing w:after="0" w:line="560" w:lineRule="exact"/>
        <w:ind w:firstLine="436" w:firstLineChars="191"/>
        <w:rPr>
          <w:rFonts w:ascii="宋体" w:hAnsi="宋体" w:cs="宋体"/>
          <w:color w:val="auto"/>
          <w:sz w:val="24"/>
          <w:szCs w:val="24"/>
        </w:rPr>
      </w:pPr>
      <w:r>
        <w:rPr>
          <w:rFonts w:hint="eastAsia" w:ascii="宋体" w:hAnsi="宋体" w:cs="宋体"/>
          <w:color w:val="auto"/>
          <w:sz w:val="24"/>
          <w:szCs w:val="24"/>
        </w:rPr>
        <w:t>7. 我公司承诺完全符合《政府采购法》、《政府采购法实施条例》等法律法规规定，并随时接受采购人、采购代理机构的检查验证。在整个招标过程中，我公司若有违规行为，我公司完全接受贵司依照相关法律法规和招标文件的规定给予处罚。</w:t>
      </w:r>
    </w:p>
    <w:p>
      <w:pPr>
        <w:spacing w:after="0" w:line="560" w:lineRule="exact"/>
        <w:ind w:firstLine="436" w:firstLineChars="191"/>
        <w:rPr>
          <w:rFonts w:ascii="宋体" w:hAnsi="宋体" w:cs="宋体"/>
          <w:color w:val="auto"/>
          <w:sz w:val="24"/>
          <w:szCs w:val="24"/>
        </w:rPr>
      </w:pPr>
      <w:r>
        <w:rPr>
          <w:rFonts w:hint="eastAsia" w:ascii="宋体" w:hAnsi="宋体" w:cs="宋体"/>
          <w:color w:val="auto"/>
          <w:sz w:val="24"/>
          <w:szCs w:val="24"/>
        </w:rPr>
        <w:t>8、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投标截止日前3年在经营活动中没有重大违法记录。</w:t>
      </w:r>
    </w:p>
    <w:p>
      <w:pPr>
        <w:spacing w:after="0" w:line="560" w:lineRule="exact"/>
        <w:ind w:firstLine="436" w:firstLineChars="191"/>
        <w:rPr>
          <w:rFonts w:ascii="宋体" w:hAnsi="宋体" w:cs="宋体"/>
          <w:color w:val="auto"/>
          <w:sz w:val="24"/>
          <w:szCs w:val="24"/>
        </w:rPr>
      </w:pPr>
      <w:r>
        <w:rPr>
          <w:rFonts w:hint="eastAsia" w:ascii="宋体" w:hAnsi="宋体" w:cs="宋体"/>
          <w:color w:val="auto"/>
          <w:sz w:val="24"/>
          <w:szCs w:val="24"/>
        </w:rPr>
        <w:t>9.我公司若中标，本承诺将成为合同不可分割的一部分，与合同具有同等的法律效力。</w:t>
      </w:r>
    </w:p>
    <w:p>
      <w:pPr>
        <w:spacing w:after="0" w:line="560" w:lineRule="exact"/>
        <w:ind w:firstLine="436" w:firstLineChars="191"/>
        <w:rPr>
          <w:rFonts w:ascii="宋体" w:hAnsi="宋体" w:cs="宋体"/>
          <w:color w:val="auto"/>
          <w:sz w:val="24"/>
          <w:szCs w:val="24"/>
        </w:rPr>
      </w:pPr>
      <w:r>
        <w:rPr>
          <w:rFonts w:hint="eastAsia" w:ascii="宋体" w:hAnsi="宋体" w:cs="宋体"/>
          <w:color w:val="auto"/>
          <w:sz w:val="24"/>
          <w:szCs w:val="24"/>
        </w:rPr>
        <w:t>10. 如违反上述承诺，我公司投标无效且接受相关部门依法作出的处罚，并承担通过“天津市政府采购网”等相关媒体予以公布的任何风险和责任。</w:t>
      </w:r>
    </w:p>
    <w:p>
      <w:pPr>
        <w:spacing w:after="0" w:line="560" w:lineRule="exact"/>
        <w:ind w:firstLine="436" w:firstLineChars="191"/>
        <w:rPr>
          <w:rFonts w:ascii="宋体" w:hAnsi="宋体" w:cs="宋体"/>
          <w:color w:val="auto"/>
          <w:sz w:val="24"/>
          <w:szCs w:val="24"/>
        </w:rPr>
      </w:pPr>
      <w:r>
        <w:rPr>
          <w:rFonts w:hint="eastAsia" w:ascii="宋体" w:hAnsi="宋体" w:cs="宋体"/>
          <w:color w:val="auto"/>
          <w:sz w:val="24"/>
          <w:szCs w:val="24"/>
        </w:rPr>
        <w:t>11.与本投标有关的一切正式往来通讯请寄：</w:t>
      </w:r>
    </w:p>
    <w:p>
      <w:pPr>
        <w:spacing w:after="0" w:line="560" w:lineRule="exact"/>
        <w:rPr>
          <w:rFonts w:ascii="宋体" w:hAnsi="宋体" w:cs="宋体"/>
          <w:color w:val="auto"/>
          <w:sz w:val="24"/>
          <w:szCs w:val="24"/>
        </w:rPr>
      </w:pPr>
      <w:r>
        <w:rPr>
          <w:rFonts w:hint="eastAsia" w:ascii="宋体" w:hAnsi="宋体" w:cs="宋体"/>
          <w:color w:val="auto"/>
          <w:sz w:val="24"/>
          <w:szCs w:val="24"/>
        </w:rPr>
        <w:t>地址：</w:t>
      </w:r>
    </w:p>
    <w:p>
      <w:pPr>
        <w:spacing w:after="0" w:line="560" w:lineRule="exact"/>
        <w:rPr>
          <w:rFonts w:ascii="宋体" w:hAnsi="宋体" w:cs="宋体"/>
          <w:color w:val="auto"/>
          <w:sz w:val="24"/>
          <w:szCs w:val="24"/>
        </w:rPr>
      </w:pPr>
      <w:r>
        <w:rPr>
          <w:rFonts w:hint="eastAsia" w:ascii="宋体" w:hAnsi="宋体" w:cs="宋体"/>
          <w:color w:val="auto"/>
          <w:sz w:val="24"/>
          <w:szCs w:val="24"/>
        </w:rPr>
        <w:t>邮政编码：</w:t>
      </w:r>
    </w:p>
    <w:p>
      <w:pPr>
        <w:spacing w:after="0" w:line="560" w:lineRule="exact"/>
        <w:rPr>
          <w:rFonts w:ascii="宋体" w:hAnsi="宋体" w:cs="宋体"/>
          <w:color w:val="auto"/>
          <w:sz w:val="24"/>
          <w:szCs w:val="24"/>
        </w:rPr>
      </w:pPr>
      <w:r>
        <w:rPr>
          <w:rFonts w:hint="eastAsia" w:ascii="宋体" w:hAnsi="宋体" w:cs="宋体"/>
          <w:color w:val="auto"/>
          <w:sz w:val="24"/>
          <w:szCs w:val="24"/>
        </w:rPr>
        <w:t>电话：</w:t>
      </w:r>
    </w:p>
    <w:p>
      <w:pPr>
        <w:spacing w:after="0" w:line="560" w:lineRule="exact"/>
        <w:rPr>
          <w:rFonts w:ascii="宋体" w:hAnsi="宋体" w:cs="宋体"/>
          <w:color w:val="auto"/>
          <w:sz w:val="24"/>
          <w:szCs w:val="24"/>
        </w:rPr>
      </w:pPr>
      <w:r>
        <w:rPr>
          <w:rFonts w:hint="eastAsia" w:ascii="宋体" w:hAnsi="宋体" w:cs="宋体"/>
          <w:color w:val="auto"/>
          <w:sz w:val="24"/>
          <w:szCs w:val="24"/>
        </w:rPr>
        <w:t>传真：</w:t>
      </w:r>
    </w:p>
    <w:p>
      <w:pPr>
        <w:spacing w:after="0" w:line="560" w:lineRule="exact"/>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代表姓名、职务：</w:t>
      </w:r>
    </w:p>
    <w:p>
      <w:pPr>
        <w:spacing w:after="0" w:line="560" w:lineRule="exact"/>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名称（公章）：</w:t>
      </w:r>
    </w:p>
    <w:p>
      <w:pPr>
        <w:spacing w:after="0" w:line="560" w:lineRule="exact"/>
        <w:rPr>
          <w:rFonts w:ascii="宋体" w:hAnsi="宋体" w:cs="宋体"/>
          <w:color w:val="auto"/>
          <w:sz w:val="24"/>
          <w:szCs w:val="24"/>
        </w:rPr>
      </w:pPr>
      <w:r>
        <w:rPr>
          <w:rFonts w:hint="eastAsia" w:ascii="宋体" w:hAnsi="宋体" w:cs="宋体"/>
          <w:color w:val="auto"/>
          <w:sz w:val="24"/>
          <w:szCs w:val="24"/>
        </w:rPr>
        <w:t>日期：年月日</w:t>
      </w:r>
    </w:p>
    <w:p>
      <w:pPr>
        <w:spacing w:after="0" w:line="560" w:lineRule="exact"/>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代表签字：</w:t>
      </w:r>
    </w:p>
    <w:p>
      <w:pPr>
        <w:rPr>
          <w:rFonts w:ascii="宋体" w:hAnsi="宋体" w:cs="宋体"/>
          <w:color w:val="auto"/>
          <w:sz w:val="24"/>
          <w:szCs w:val="24"/>
        </w:rPr>
      </w:pPr>
    </w:p>
    <w:p>
      <w:pPr>
        <w:rPr>
          <w:rFonts w:ascii="宋体" w:hAnsi="宋体" w:cs="宋体"/>
          <w:color w:val="auto"/>
          <w:sz w:val="24"/>
          <w:szCs w:val="24"/>
        </w:rPr>
      </w:pPr>
      <w:r>
        <w:rPr>
          <w:rFonts w:hint="eastAsia" w:ascii="宋体" w:hAnsi="宋体" w:cs="宋体"/>
          <w:color w:val="auto"/>
          <w:sz w:val="24"/>
          <w:szCs w:val="24"/>
        </w:rPr>
        <w:br w:type="page"/>
      </w:r>
    </w:p>
    <w:p>
      <w:pPr>
        <w:rPr>
          <w:rFonts w:ascii="宋体" w:hAnsi="宋体" w:cs="宋体"/>
          <w:b/>
          <w:color w:val="auto"/>
          <w:sz w:val="24"/>
          <w:szCs w:val="24"/>
        </w:rPr>
      </w:pPr>
      <w:r>
        <w:rPr>
          <w:rFonts w:hint="eastAsia" w:ascii="宋体" w:hAnsi="宋体" w:cs="宋体"/>
          <w:b/>
          <w:color w:val="auto"/>
          <w:sz w:val="24"/>
          <w:szCs w:val="24"/>
        </w:rPr>
        <w:t>附件2</w:t>
      </w:r>
    </w:p>
    <w:p>
      <w:pPr>
        <w:jc w:val="center"/>
        <w:rPr>
          <w:rFonts w:ascii="宋体" w:hAnsi="宋体" w:cs="宋体"/>
          <w:b/>
          <w:color w:val="auto"/>
          <w:sz w:val="24"/>
          <w:szCs w:val="24"/>
        </w:rPr>
      </w:pPr>
      <w:r>
        <w:rPr>
          <w:rFonts w:hint="eastAsia" w:ascii="宋体" w:hAnsi="宋体" w:cs="宋体"/>
          <w:b/>
          <w:color w:val="auto"/>
          <w:sz w:val="24"/>
          <w:szCs w:val="24"/>
        </w:rPr>
        <w:t>供应商资格要求证明文件</w:t>
      </w:r>
    </w:p>
    <w:p>
      <w:pPr>
        <w:rPr>
          <w:rFonts w:ascii="宋体" w:hAnsi="宋体" w:cs="宋体"/>
          <w:b/>
          <w:color w:val="auto"/>
          <w:sz w:val="24"/>
          <w:szCs w:val="24"/>
        </w:rPr>
      </w:pPr>
      <w:r>
        <w:rPr>
          <w:rFonts w:hint="eastAsia" w:ascii="宋体" w:hAnsi="宋体" w:cs="宋体"/>
          <w:color w:val="auto"/>
          <w:sz w:val="24"/>
          <w:szCs w:val="24"/>
        </w:rPr>
        <w:br w:type="page"/>
      </w:r>
      <w:r>
        <w:rPr>
          <w:rFonts w:hint="eastAsia" w:ascii="宋体" w:hAnsi="宋体" w:cs="宋体"/>
          <w:b/>
          <w:color w:val="auto"/>
          <w:sz w:val="24"/>
          <w:szCs w:val="24"/>
        </w:rPr>
        <w:t>附件3-1</w:t>
      </w:r>
    </w:p>
    <w:p>
      <w:pPr>
        <w:spacing w:after="0" w:line="560" w:lineRule="exact"/>
        <w:jc w:val="center"/>
        <w:rPr>
          <w:rFonts w:ascii="宋体" w:hAnsi="宋体" w:cs="宋体"/>
          <w:b/>
          <w:color w:val="auto"/>
          <w:sz w:val="24"/>
          <w:szCs w:val="24"/>
        </w:rPr>
      </w:pPr>
      <w:r>
        <w:rPr>
          <w:rFonts w:hint="eastAsia" w:ascii="宋体" w:hAnsi="宋体" w:cs="宋体"/>
          <w:b/>
          <w:color w:val="auto"/>
          <w:sz w:val="24"/>
          <w:szCs w:val="24"/>
        </w:rPr>
        <w:t>投标代表人授权书</w:t>
      </w:r>
    </w:p>
    <w:p>
      <w:pPr>
        <w:spacing w:after="0" w:line="560" w:lineRule="exact"/>
        <w:rPr>
          <w:rFonts w:ascii="宋体" w:hAnsi="宋体" w:cs="宋体"/>
          <w:color w:val="auto"/>
          <w:sz w:val="24"/>
          <w:szCs w:val="24"/>
        </w:rPr>
      </w:pPr>
      <w:r>
        <w:rPr>
          <w:rFonts w:hint="eastAsia" w:ascii="宋体" w:hAnsi="宋体" w:cs="宋体"/>
          <w:color w:val="auto"/>
          <w:sz w:val="24"/>
          <w:szCs w:val="24"/>
        </w:rPr>
        <w:t>致：天津晟辰工程造价咨询有限公司</w:t>
      </w:r>
    </w:p>
    <w:p>
      <w:pPr>
        <w:spacing w:after="0" w:line="560" w:lineRule="exact"/>
        <w:ind w:firstLine="447" w:firstLineChars="196"/>
        <w:rPr>
          <w:rFonts w:ascii="宋体" w:hAnsi="宋体" w:cs="宋体"/>
          <w:color w:val="auto"/>
          <w:sz w:val="24"/>
          <w:szCs w:val="24"/>
        </w:rPr>
      </w:pPr>
      <w:r>
        <w:rPr>
          <w:rFonts w:hint="eastAsia" w:ascii="宋体" w:hAnsi="宋体" w:cs="宋体"/>
          <w:color w:val="auto"/>
          <w:sz w:val="24"/>
          <w:szCs w:val="24"/>
        </w:rPr>
        <w:t>我____________（姓名）系______________________________（投标单位名称）的法定代表人，现授权委托本单位在职员工_______________（姓名，职务）（身份证号码：____________________、联系电话：_______________）作为投标代表人以我方的名义参加贵单位______________________项目（项目编号：_______________）的投标活动，并代表我方全权办理针对上述项目的投标、开标、投标文件澄清、签约等一切具体事务和签署相关文件。</w:t>
      </w:r>
    </w:p>
    <w:p>
      <w:pPr>
        <w:spacing w:after="0" w:line="560" w:lineRule="exact"/>
        <w:ind w:firstLine="224" w:firstLineChars="98"/>
        <w:rPr>
          <w:rFonts w:ascii="宋体" w:hAnsi="宋体" w:cs="宋体"/>
          <w:color w:val="auto"/>
          <w:sz w:val="24"/>
          <w:szCs w:val="24"/>
        </w:rPr>
      </w:pPr>
      <w:r>
        <w:rPr>
          <w:rFonts w:hint="eastAsia" w:ascii="宋体" w:hAnsi="宋体" w:cs="宋体"/>
          <w:color w:val="auto"/>
          <w:sz w:val="24"/>
          <w:szCs w:val="24"/>
        </w:rPr>
        <w:t>我方对投标代表人的签名事项负全部责任。</w:t>
      </w:r>
    </w:p>
    <w:p>
      <w:pPr>
        <w:spacing w:after="0" w:line="560" w:lineRule="exact"/>
        <w:ind w:firstLine="224" w:firstLineChars="98"/>
        <w:rPr>
          <w:rFonts w:ascii="宋体" w:hAnsi="宋体" w:cs="宋体"/>
          <w:color w:val="auto"/>
          <w:sz w:val="24"/>
          <w:szCs w:val="24"/>
        </w:rPr>
      </w:pPr>
      <w:r>
        <w:rPr>
          <w:rFonts w:hint="eastAsia" w:ascii="宋体" w:hAnsi="宋体" w:cs="宋体"/>
          <w:color w:val="auto"/>
          <w:sz w:val="24"/>
          <w:szCs w:val="24"/>
        </w:rPr>
        <w:t>本授权书至投标有效期结束前始终有效。</w:t>
      </w:r>
    </w:p>
    <w:p>
      <w:pPr>
        <w:spacing w:after="0" w:line="560" w:lineRule="exact"/>
        <w:ind w:firstLine="224" w:firstLineChars="98"/>
        <w:rPr>
          <w:rFonts w:ascii="宋体" w:hAnsi="宋体" w:cs="宋体"/>
          <w:color w:val="auto"/>
          <w:sz w:val="24"/>
          <w:szCs w:val="24"/>
        </w:rPr>
      </w:pPr>
      <w:r>
        <w:rPr>
          <w:rFonts w:hint="eastAsia" w:ascii="宋体" w:hAnsi="宋体" w:cs="宋体"/>
          <w:color w:val="auto"/>
          <w:sz w:val="24"/>
          <w:szCs w:val="24"/>
        </w:rPr>
        <w:t>投标代表人无转委托权，特此委托。</w:t>
      </w:r>
    </w:p>
    <w:p>
      <w:pPr>
        <w:spacing w:after="0" w:line="560" w:lineRule="exact"/>
        <w:rPr>
          <w:rFonts w:ascii="宋体" w:hAnsi="宋体" w:cs="宋体"/>
          <w:color w:val="auto"/>
          <w:sz w:val="24"/>
          <w:szCs w:val="24"/>
        </w:rPr>
      </w:pPr>
    </w:p>
    <w:p>
      <w:pPr>
        <w:spacing w:after="0" w:line="560" w:lineRule="exact"/>
        <w:jc w:val="right"/>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名称（公章）：</w:t>
      </w:r>
    </w:p>
    <w:p>
      <w:pPr>
        <w:spacing w:after="0" w:line="560" w:lineRule="exact"/>
        <w:jc w:val="right"/>
        <w:rPr>
          <w:rFonts w:ascii="宋体" w:hAnsi="宋体" w:cs="宋体"/>
          <w:color w:val="auto"/>
          <w:sz w:val="24"/>
          <w:szCs w:val="24"/>
        </w:rPr>
      </w:pPr>
      <w:r>
        <w:rPr>
          <w:rFonts w:hint="eastAsia" w:ascii="宋体" w:hAnsi="宋体" w:cs="宋体"/>
          <w:color w:val="auto"/>
          <w:sz w:val="24"/>
          <w:szCs w:val="24"/>
        </w:rPr>
        <w:t>法定代表人签字或</w:t>
      </w:r>
      <w:r>
        <w:rPr>
          <w:rFonts w:hint="eastAsia" w:ascii="宋体" w:hAnsi="宋体" w:cs="宋体"/>
          <w:color w:val="auto"/>
          <w:sz w:val="24"/>
          <w:szCs w:val="24"/>
          <w:lang w:val="en-US" w:eastAsia="zh-CN"/>
        </w:rPr>
        <w:t>盖</w:t>
      </w:r>
      <w:r>
        <w:rPr>
          <w:rFonts w:hint="eastAsia" w:ascii="宋体" w:hAnsi="宋体" w:cs="宋体"/>
          <w:color w:val="auto"/>
          <w:sz w:val="24"/>
          <w:szCs w:val="24"/>
        </w:rPr>
        <w:t>章：</w:t>
      </w:r>
    </w:p>
    <w:p>
      <w:pPr>
        <w:spacing w:after="0" w:line="560" w:lineRule="exact"/>
        <w:jc w:val="right"/>
        <w:rPr>
          <w:rFonts w:ascii="宋体" w:hAnsi="宋体" w:cs="宋体"/>
          <w:color w:val="auto"/>
          <w:sz w:val="24"/>
          <w:szCs w:val="24"/>
        </w:rPr>
      </w:pPr>
      <w:r>
        <w:rPr>
          <w:rFonts w:hint="eastAsia" w:ascii="宋体" w:hAnsi="宋体" w:cs="宋体"/>
          <w:color w:val="auto"/>
          <w:sz w:val="24"/>
          <w:szCs w:val="24"/>
        </w:rPr>
        <w:t>年月日</w:t>
      </w:r>
    </w:p>
    <w:tbl>
      <w:tblPr>
        <w:tblStyle w:val="3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rPr>
                <w:rFonts w:ascii="宋体" w:hAnsi="宋体" w:cs="宋体"/>
                <w:color w:val="auto"/>
                <w:sz w:val="24"/>
                <w:szCs w:val="24"/>
              </w:rPr>
            </w:pPr>
            <w:r>
              <w:rPr>
                <w:rFonts w:hint="eastAsia" w:ascii="宋体" w:hAnsi="宋体" w:cs="宋体"/>
                <w:color w:val="auto"/>
                <w:sz w:val="24"/>
                <w:szCs w:val="24"/>
              </w:rPr>
              <w:t>投标代表人身份证正面</w:t>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tc>
        <w:tc>
          <w:tcPr>
            <w:tcW w:w="4264" w:type="dxa"/>
          </w:tcPr>
          <w:p>
            <w:pPr>
              <w:rPr>
                <w:rFonts w:ascii="宋体" w:hAnsi="宋体" w:cs="宋体"/>
                <w:color w:val="auto"/>
                <w:sz w:val="24"/>
                <w:szCs w:val="24"/>
              </w:rPr>
            </w:pPr>
            <w:r>
              <w:rPr>
                <w:rFonts w:hint="eastAsia" w:ascii="宋体" w:hAnsi="宋体" w:cs="宋体"/>
                <w:color w:val="auto"/>
                <w:sz w:val="24"/>
                <w:szCs w:val="24"/>
              </w:rPr>
              <w:t>投标代表人身份证背面</w:t>
            </w:r>
          </w:p>
        </w:tc>
      </w:tr>
    </w:tbl>
    <w:p>
      <w:pPr>
        <w:rPr>
          <w:rFonts w:ascii="宋体" w:hAnsi="宋体" w:cs="宋体"/>
          <w:b/>
          <w:color w:val="auto"/>
          <w:sz w:val="24"/>
          <w:szCs w:val="24"/>
        </w:rPr>
      </w:pPr>
      <w:r>
        <w:rPr>
          <w:rFonts w:hint="eastAsia" w:ascii="宋体" w:hAnsi="宋体" w:cs="宋体"/>
          <w:color w:val="auto"/>
          <w:sz w:val="24"/>
          <w:szCs w:val="24"/>
        </w:rPr>
        <w:br w:type="page"/>
      </w:r>
      <w:r>
        <w:rPr>
          <w:rFonts w:hint="eastAsia" w:ascii="宋体" w:hAnsi="宋体" w:cs="宋体"/>
          <w:b/>
          <w:color w:val="auto"/>
          <w:sz w:val="24"/>
          <w:szCs w:val="24"/>
        </w:rPr>
        <w:t>附件3-2</w:t>
      </w:r>
    </w:p>
    <w:p>
      <w:pPr>
        <w:spacing w:after="0" w:line="560" w:lineRule="exact"/>
        <w:jc w:val="center"/>
        <w:rPr>
          <w:rFonts w:ascii="宋体" w:hAnsi="宋体" w:cs="宋体"/>
          <w:b/>
          <w:color w:val="auto"/>
          <w:sz w:val="24"/>
          <w:szCs w:val="24"/>
        </w:rPr>
      </w:pPr>
      <w:r>
        <w:rPr>
          <w:rFonts w:hint="eastAsia" w:ascii="宋体" w:hAnsi="宋体" w:cs="宋体"/>
          <w:b/>
          <w:color w:val="auto"/>
          <w:sz w:val="24"/>
          <w:szCs w:val="24"/>
        </w:rPr>
        <w:t>法定代表人资格证明书</w:t>
      </w:r>
    </w:p>
    <w:p>
      <w:pPr>
        <w:spacing w:after="0" w:line="560" w:lineRule="exact"/>
        <w:rPr>
          <w:rFonts w:ascii="宋体" w:hAnsi="宋体" w:cs="宋体"/>
          <w:color w:val="auto"/>
          <w:sz w:val="24"/>
          <w:szCs w:val="24"/>
        </w:rPr>
      </w:pPr>
    </w:p>
    <w:p>
      <w:pPr>
        <w:spacing w:after="0" w:line="560" w:lineRule="exact"/>
        <w:ind w:firstLine="224" w:firstLineChars="98"/>
        <w:rPr>
          <w:rFonts w:ascii="宋体" w:hAnsi="宋体" w:cs="宋体"/>
          <w:color w:val="auto"/>
          <w:sz w:val="24"/>
          <w:szCs w:val="24"/>
        </w:rPr>
      </w:pPr>
      <w:r>
        <w:rPr>
          <w:rFonts w:hint="eastAsia" w:ascii="宋体" w:hAnsi="宋体" w:cs="宋体"/>
          <w:color w:val="auto"/>
          <w:sz w:val="24"/>
          <w:szCs w:val="24"/>
        </w:rPr>
        <w:t>兹证明，__________（先生/女士）在我公司任职务，系我公司的法定代表人，现进行</w:t>
      </w:r>
      <w:r>
        <w:rPr>
          <w:rFonts w:hint="eastAsia" w:ascii="宋体" w:hAnsi="宋体" w:cs="宋体"/>
          <w:color w:val="auto"/>
          <w:sz w:val="24"/>
          <w:szCs w:val="24"/>
          <w:u w:val="single"/>
        </w:rPr>
        <w:t xml:space="preserve">                           </w:t>
      </w:r>
      <w:r>
        <w:rPr>
          <w:rFonts w:hint="eastAsia" w:ascii="宋体" w:hAnsi="宋体" w:cs="宋体"/>
          <w:color w:val="auto"/>
          <w:sz w:val="24"/>
          <w:szCs w:val="24"/>
        </w:rPr>
        <w:t>项目的投标（项目编号：），签署投标文件、进行合同谈判、签署合同和处理与之相关的一切事物。</w:t>
      </w:r>
    </w:p>
    <w:p>
      <w:pPr>
        <w:spacing w:after="0" w:line="560" w:lineRule="exact"/>
        <w:rPr>
          <w:rFonts w:ascii="宋体" w:hAnsi="宋体" w:cs="宋体"/>
          <w:color w:val="auto"/>
          <w:sz w:val="24"/>
          <w:szCs w:val="24"/>
        </w:rPr>
      </w:pPr>
    </w:p>
    <w:p>
      <w:pPr>
        <w:spacing w:after="0" w:line="560" w:lineRule="exact"/>
        <w:ind w:firstLine="436" w:firstLineChars="191"/>
        <w:rPr>
          <w:rFonts w:ascii="宋体" w:hAnsi="宋体" w:cs="宋体"/>
          <w:color w:val="auto"/>
          <w:sz w:val="24"/>
          <w:szCs w:val="24"/>
        </w:rPr>
      </w:pPr>
      <w:r>
        <w:rPr>
          <w:rFonts w:hint="eastAsia" w:ascii="宋体" w:hAnsi="宋体" w:cs="宋体"/>
          <w:color w:val="auto"/>
          <w:sz w:val="24"/>
          <w:szCs w:val="24"/>
        </w:rPr>
        <w:t>____________先生/女士的个人情况：</w:t>
      </w:r>
    </w:p>
    <w:p>
      <w:pPr>
        <w:spacing w:after="0" w:line="560" w:lineRule="exact"/>
        <w:ind w:firstLine="436" w:firstLineChars="191"/>
        <w:rPr>
          <w:rFonts w:ascii="宋体" w:hAnsi="宋体" w:cs="宋体"/>
          <w:color w:val="auto"/>
          <w:sz w:val="24"/>
          <w:szCs w:val="24"/>
        </w:rPr>
      </w:pPr>
      <w:r>
        <w:rPr>
          <w:rFonts w:hint="eastAsia" w:ascii="宋体" w:hAnsi="宋体" w:cs="宋体"/>
          <w:color w:val="auto"/>
          <w:sz w:val="24"/>
          <w:szCs w:val="24"/>
        </w:rPr>
        <w:t>姓名： 性别：年龄：职务：</w:t>
      </w:r>
    </w:p>
    <w:p>
      <w:pPr>
        <w:spacing w:after="0" w:line="560" w:lineRule="exact"/>
        <w:ind w:firstLine="436" w:firstLineChars="191"/>
        <w:rPr>
          <w:rFonts w:ascii="宋体" w:hAnsi="宋体" w:cs="宋体"/>
          <w:color w:val="auto"/>
          <w:sz w:val="24"/>
          <w:szCs w:val="24"/>
        </w:rPr>
      </w:pPr>
      <w:r>
        <w:rPr>
          <w:rFonts w:hint="eastAsia" w:ascii="宋体" w:hAnsi="宋体" w:cs="宋体"/>
          <w:color w:val="auto"/>
          <w:sz w:val="24"/>
          <w:szCs w:val="24"/>
        </w:rPr>
        <w:t>身份证号码：（身份证复印件附后）</w:t>
      </w:r>
    </w:p>
    <w:p>
      <w:pPr>
        <w:spacing w:after="0" w:line="560" w:lineRule="exact"/>
        <w:ind w:firstLine="436" w:firstLineChars="191"/>
        <w:rPr>
          <w:rFonts w:ascii="宋体" w:hAnsi="宋体" w:cs="宋体"/>
          <w:color w:val="auto"/>
          <w:sz w:val="24"/>
          <w:szCs w:val="24"/>
        </w:rPr>
      </w:pPr>
    </w:p>
    <w:p>
      <w:pPr>
        <w:spacing w:after="0" w:line="560" w:lineRule="exact"/>
        <w:ind w:firstLine="436" w:firstLineChars="191"/>
        <w:rPr>
          <w:rFonts w:ascii="宋体" w:hAnsi="宋体" w:cs="宋体"/>
          <w:color w:val="auto"/>
          <w:sz w:val="24"/>
          <w:szCs w:val="24"/>
        </w:rPr>
      </w:pPr>
      <w:r>
        <w:rPr>
          <w:rFonts w:hint="eastAsia" w:ascii="宋体" w:hAnsi="宋体" w:cs="宋体"/>
          <w:color w:val="auto"/>
          <w:sz w:val="24"/>
          <w:szCs w:val="24"/>
        </w:rPr>
        <w:t>特此证明。</w:t>
      </w:r>
    </w:p>
    <w:p>
      <w:pPr>
        <w:spacing w:after="0" w:line="560" w:lineRule="exact"/>
        <w:rPr>
          <w:rFonts w:ascii="宋体" w:hAnsi="宋体" w:cs="宋体"/>
          <w:color w:val="auto"/>
          <w:sz w:val="24"/>
          <w:szCs w:val="24"/>
        </w:rPr>
      </w:pPr>
    </w:p>
    <w:p>
      <w:pPr>
        <w:spacing w:after="0" w:line="560" w:lineRule="exact"/>
        <w:ind w:firstLine="4209" w:firstLineChars="1846"/>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名称（公章）：</w:t>
      </w:r>
    </w:p>
    <w:p>
      <w:pPr>
        <w:spacing w:after="0" w:line="560" w:lineRule="exact"/>
        <w:rPr>
          <w:rFonts w:ascii="宋体" w:hAnsi="宋体" w:cs="宋体"/>
          <w:color w:val="auto"/>
          <w:sz w:val="24"/>
          <w:szCs w:val="24"/>
        </w:rPr>
      </w:pPr>
      <w:r>
        <w:rPr>
          <w:rFonts w:hint="eastAsia" w:ascii="宋体" w:hAnsi="宋体" w:cs="宋体"/>
          <w:color w:val="auto"/>
          <w:sz w:val="24"/>
          <w:szCs w:val="24"/>
        </w:rPr>
        <w:t xml:space="preserve">                                  法定代表人签字</w:t>
      </w:r>
      <w:r>
        <w:rPr>
          <w:rFonts w:hint="eastAsia" w:ascii="宋体" w:hAnsi="宋体" w:cs="宋体"/>
          <w:color w:val="auto"/>
          <w:sz w:val="24"/>
          <w:szCs w:val="24"/>
          <w:lang w:val="en-US" w:eastAsia="zh-CN"/>
        </w:rPr>
        <w:t>或</w:t>
      </w:r>
      <w:r>
        <w:rPr>
          <w:rFonts w:hint="eastAsia" w:ascii="宋体" w:hAnsi="宋体" w:cs="宋体"/>
          <w:color w:val="auto"/>
          <w:sz w:val="24"/>
          <w:szCs w:val="24"/>
        </w:rPr>
        <w:t>盖章：</w:t>
      </w:r>
    </w:p>
    <w:p>
      <w:pPr>
        <w:spacing w:after="0" w:line="560" w:lineRule="exact"/>
        <w:ind w:firstLine="4466" w:firstLineChars="1959"/>
        <w:rPr>
          <w:rFonts w:ascii="宋体" w:hAnsi="宋体" w:cs="宋体"/>
          <w:color w:val="auto"/>
          <w:sz w:val="24"/>
          <w:szCs w:val="24"/>
        </w:rPr>
      </w:pPr>
      <w:r>
        <w:rPr>
          <w:rFonts w:hint="eastAsia" w:ascii="宋体" w:hAnsi="宋体" w:cs="宋体"/>
          <w:color w:val="auto"/>
          <w:sz w:val="24"/>
          <w:szCs w:val="24"/>
        </w:rPr>
        <w:t xml:space="preserve">年    月    日  </w:t>
      </w:r>
    </w:p>
    <w:p>
      <w:pPr>
        <w:rPr>
          <w:rFonts w:ascii="宋体" w:hAnsi="宋体" w:cs="宋体"/>
          <w:color w:val="auto"/>
          <w:sz w:val="24"/>
          <w:szCs w:val="24"/>
        </w:rPr>
      </w:pPr>
    </w:p>
    <w:tbl>
      <w:tblPr>
        <w:tblStyle w:val="3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rPr>
                <w:rFonts w:ascii="宋体" w:hAnsi="宋体" w:cs="宋体"/>
                <w:color w:val="auto"/>
                <w:sz w:val="24"/>
                <w:szCs w:val="24"/>
              </w:rPr>
            </w:pPr>
            <w:r>
              <w:rPr>
                <w:rFonts w:hint="eastAsia" w:ascii="宋体" w:hAnsi="宋体" w:cs="宋体"/>
                <w:color w:val="auto"/>
                <w:sz w:val="24"/>
                <w:szCs w:val="24"/>
              </w:rPr>
              <w:t>法定代表人身份证正面</w:t>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tc>
        <w:tc>
          <w:tcPr>
            <w:tcW w:w="4264" w:type="dxa"/>
          </w:tcPr>
          <w:p>
            <w:pPr>
              <w:rPr>
                <w:rFonts w:ascii="宋体" w:hAnsi="宋体" w:cs="宋体"/>
                <w:color w:val="auto"/>
                <w:sz w:val="24"/>
                <w:szCs w:val="24"/>
              </w:rPr>
            </w:pPr>
            <w:r>
              <w:rPr>
                <w:rFonts w:hint="eastAsia" w:ascii="宋体" w:hAnsi="宋体" w:cs="宋体"/>
                <w:color w:val="auto"/>
                <w:sz w:val="24"/>
                <w:szCs w:val="24"/>
              </w:rPr>
              <w:t>法定代表人身份证背面</w:t>
            </w:r>
          </w:p>
        </w:tc>
      </w:tr>
    </w:tbl>
    <w:p>
      <w:pPr>
        <w:rPr>
          <w:rFonts w:ascii="宋体" w:hAnsi="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cs="宋体"/>
          <w:b/>
          <w:color w:val="auto"/>
          <w:sz w:val="24"/>
          <w:szCs w:val="24"/>
        </w:rPr>
      </w:pPr>
      <w:r>
        <w:rPr>
          <w:rFonts w:hint="eastAsia" w:ascii="宋体" w:hAnsi="宋体" w:cs="宋体"/>
          <w:b/>
          <w:color w:val="auto"/>
          <w:sz w:val="24"/>
          <w:szCs w:val="24"/>
        </w:rPr>
        <w:t>附件4</w:t>
      </w:r>
    </w:p>
    <w:p>
      <w:pPr>
        <w:spacing w:after="0" w:line="560" w:lineRule="exact"/>
        <w:jc w:val="center"/>
        <w:rPr>
          <w:rFonts w:ascii="宋体" w:hAnsi="宋体" w:cs="宋体"/>
          <w:b/>
          <w:color w:val="auto"/>
          <w:sz w:val="24"/>
          <w:szCs w:val="24"/>
        </w:rPr>
      </w:pPr>
      <w:r>
        <w:rPr>
          <w:rFonts w:hint="eastAsia" w:ascii="宋体" w:hAnsi="宋体" w:cs="宋体"/>
          <w:b/>
          <w:color w:val="auto"/>
          <w:sz w:val="24"/>
          <w:szCs w:val="24"/>
        </w:rPr>
        <w:t>无重大违法记录声明函</w:t>
      </w:r>
    </w:p>
    <w:p>
      <w:pPr>
        <w:spacing w:after="0" w:line="560" w:lineRule="exact"/>
        <w:rPr>
          <w:rFonts w:ascii="宋体" w:hAnsi="宋体" w:cs="宋体"/>
          <w:color w:val="auto"/>
          <w:sz w:val="24"/>
          <w:szCs w:val="24"/>
        </w:rPr>
      </w:pPr>
    </w:p>
    <w:p>
      <w:pPr>
        <w:autoSpaceDE w:val="0"/>
        <w:autoSpaceDN w:val="0"/>
        <w:adjustRightInd w:val="0"/>
        <w:spacing w:line="520" w:lineRule="exact"/>
        <w:jc w:val="left"/>
        <w:rPr>
          <w:rFonts w:hint="eastAsia" w:ascii="宋体" w:hAnsi="宋体" w:eastAsia="宋体" w:cs="宋体"/>
          <w:color w:val="auto"/>
          <w:kern w:val="0"/>
          <w:sz w:val="24"/>
        </w:rPr>
      </w:pPr>
      <w:r>
        <w:rPr>
          <w:rFonts w:hint="eastAsia" w:ascii="宋体" w:hAnsi="宋体" w:eastAsia="宋体" w:cs="宋体"/>
          <w:color w:val="auto"/>
          <w:sz w:val="24"/>
        </w:rPr>
        <w:t>致：</w:t>
      </w:r>
      <w:r>
        <w:rPr>
          <w:rFonts w:hint="eastAsia" w:ascii="宋体" w:hAnsi="宋体" w:eastAsia="宋体" w:cs="宋体"/>
          <w:color w:val="auto"/>
          <w:kern w:val="0"/>
          <w:sz w:val="24"/>
        </w:rPr>
        <w:t>天津晟辰工程造价咨询有限公司</w:t>
      </w:r>
    </w:p>
    <w:p>
      <w:pPr>
        <w:pStyle w:val="2"/>
        <w:spacing w:line="600" w:lineRule="auto"/>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我公司</w:t>
      </w:r>
      <w:r>
        <w:rPr>
          <w:rFonts w:hint="eastAsia" w:ascii="宋体" w:hAnsi="宋体" w:eastAsia="宋体" w:cs="宋体"/>
          <w:color w:val="auto"/>
          <w:sz w:val="24"/>
        </w:rPr>
        <w:t xml:space="preserve">愿意参与 </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 xml:space="preserve">项目（项目编号：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）的</w:t>
      </w:r>
      <w:r>
        <w:rPr>
          <w:rFonts w:hint="eastAsia" w:ascii="宋体" w:hAnsi="宋体" w:eastAsia="宋体" w:cs="宋体"/>
          <w:color w:val="auto"/>
          <w:sz w:val="24"/>
          <w:lang w:val="en-US" w:eastAsia="zh-CN"/>
        </w:rPr>
        <w:t>招标</w:t>
      </w:r>
      <w:r>
        <w:rPr>
          <w:rFonts w:hint="eastAsia" w:ascii="宋体" w:hAnsi="宋体" w:eastAsia="宋体" w:cs="宋体"/>
          <w:color w:val="auto"/>
          <w:sz w:val="24"/>
        </w:rPr>
        <w:t>，并作出如下承诺：</w:t>
      </w:r>
    </w:p>
    <w:p>
      <w:pPr>
        <w:pStyle w:val="2"/>
        <w:spacing w:line="600" w:lineRule="auto"/>
        <w:rPr>
          <w:rFonts w:hint="default" w:ascii="宋体" w:hAnsi="宋体" w:eastAsia="宋体" w:cs="宋体"/>
          <w:color w:val="auto"/>
          <w:sz w:val="24"/>
          <w:lang w:val="en-US" w:eastAsia="zh-CN"/>
        </w:rPr>
      </w:pPr>
      <w:r>
        <w:rPr>
          <w:rFonts w:hint="eastAsia" w:ascii="宋体" w:hAnsi="宋体" w:eastAsia="宋体" w:cs="宋体"/>
          <w:color w:val="auto"/>
          <w:sz w:val="24"/>
        </w:rPr>
        <w:t xml:space="preserve">   我公司承诺在参加政府采购活动近3年内</w:t>
      </w:r>
      <w:r>
        <w:rPr>
          <w:rFonts w:hint="eastAsia" w:ascii="宋体" w:hAnsi="宋体" w:eastAsia="宋体" w:cs="宋体"/>
          <w:color w:val="auto"/>
          <w:sz w:val="24"/>
          <w:lang w:eastAsia="zh-CN"/>
        </w:rPr>
        <w:t>，</w:t>
      </w:r>
      <w:r>
        <w:rPr>
          <w:rFonts w:hint="eastAsia" w:ascii="宋体" w:hAnsi="宋体" w:eastAsia="宋体" w:cs="宋体"/>
          <w:color w:val="auto"/>
          <w:sz w:val="24"/>
        </w:rPr>
        <w:t>在经营活动中没有重大违法记录</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符合《中华人民共和国政府采购法》等相关法律法规规定的供应商资格条件</w:t>
      </w:r>
      <w:r>
        <w:rPr>
          <w:rFonts w:hint="eastAsia" w:ascii="宋体" w:hAnsi="宋体" w:eastAsia="宋体" w:cs="宋体"/>
          <w:color w:val="auto"/>
          <w:sz w:val="24"/>
        </w:rPr>
        <w:t>。</w:t>
      </w:r>
      <w:r>
        <w:rPr>
          <w:rFonts w:hint="eastAsia" w:ascii="宋体" w:hAnsi="宋体" w:eastAsia="宋体" w:cs="宋体"/>
          <w:color w:val="auto"/>
          <w:sz w:val="24"/>
          <w:lang w:val="en-US" w:eastAsia="zh-CN"/>
        </w:rPr>
        <w:t>我方对此声明付全部法律责任。</w:t>
      </w:r>
    </w:p>
    <w:p>
      <w:pPr>
        <w:pStyle w:val="2"/>
        <w:spacing w:line="600" w:lineRule="auto"/>
        <w:ind w:firstLine="684" w:firstLineChars="300"/>
        <w:rPr>
          <w:rFonts w:hint="eastAsia" w:ascii="宋体" w:hAnsi="宋体" w:eastAsia="宋体" w:cs="宋体"/>
          <w:color w:val="auto"/>
          <w:sz w:val="24"/>
        </w:rPr>
      </w:pPr>
      <w:r>
        <w:rPr>
          <w:rFonts w:hint="eastAsia" w:ascii="宋体" w:hAnsi="宋体" w:eastAsia="宋体" w:cs="宋体"/>
          <w:color w:val="auto"/>
          <w:sz w:val="24"/>
        </w:rPr>
        <w:t>特此声明</w:t>
      </w:r>
    </w:p>
    <w:p>
      <w:pPr>
        <w:spacing w:after="0" w:line="560" w:lineRule="exact"/>
        <w:rPr>
          <w:rFonts w:ascii="宋体" w:hAnsi="宋体" w:cs="宋体"/>
          <w:color w:val="auto"/>
          <w:sz w:val="24"/>
          <w:szCs w:val="24"/>
        </w:rPr>
      </w:pPr>
    </w:p>
    <w:p>
      <w:pPr>
        <w:spacing w:after="0" w:line="560" w:lineRule="exact"/>
        <w:rPr>
          <w:rFonts w:ascii="宋体" w:hAnsi="宋体" w:cs="宋体"/>
          <w:color w:val="auto"/>
          <w:sz w:val="24"/>
          <w:szCs w:val="24"/>
        </w:rPr>
      </w:pPr>
    </w:p>
    <w:p>
      <w:pPr>
        <w:spacing w:after="0" w:line="560" w:lineRule="exact"/>
        <w:rPr>
          <w:rFonts w:ascii="宋体" w:hAnsi="宋体" w:cs="宋体"/>
          <w:color w:val="auto"/>
          <w:sz w:val="24"/>
          <w:szCs w:val="24"/>
        </w:rPr>
      </w:pPr>
    </w:p>
    <w:p>
      <w:pPr>
        <w:spacing w:after="0" w:line="560" w:lineRule="exact"/>
        <w:rPr>
          <w:rFonts w:ascii="宋体" w:hAnsi="宋体" w:cs="宋体"/>
          <w:color w:val="auto"/>
          <w:sz w:val="24"/>
          <w:szCs w:val="24"/>
        </w:rPr>
      </w:pPr>
    </w:p>
    <w:p>
      <w:pPr>
        <w:spacing w:after="0" w:line="560" w:lineRule="exact"/>
        <w:rPr>
          <w:rFonts w:ascii="宋体" w:hAnsi="宋体" w:cs="宋体"/>
          <w:color w:val="auto"/>
          <w:sz w:val="24"/>
          <w:szCs w:val="24"/>
        </w:rPr>
      </w:pPr>
    </w:p>
    <w:p>
      <w:pPr>
        <w:spacing w:after="0" w:line="560" w:lineRule="exact"/>
        <w:jc w:val="right"/>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代表签字：_______________</w:t>
      </w:r>
    </w:p>
    <w:p>
      <w:pPr>
        <w:spacing w:after="0" w:line="560" w:lineRule="exact"/>
        <w:jc w:val="right"/>
        <w:rPr>
          <w:rFonts w:ascii="宋体" w:hAnsi="宋体" w:cs="宋体"/>
          <w:color w:val="auto"/>
          <w:sz w:val="24"/>
          <w:szCs w:val="24"/>
        </w:rPr>
      </w:pPr>
    </w:p>
    <w:p>
      <w:pPr>
        <w:spacing w:after="0" w:line="560" w:lineRule="exact"/>
        <w:jc w:val="right"/>
        <w:rPr>
          <w:rFonts w:ascii="宋体" w:hAnsi="宋体" w:cs="宋体"/>
          <w:color w:val="auto"/>
          <w:sz w:val="24"/>
          <w:szCs w:val="24"/>
        </w:rPr>
      </w:pPr>
      <w:r>
        <w:rPr>
          <w:rFonts w:hint="eastAsia" w:ascii="宋体" w:hAnsi="宋体" w:cs="宋体"/>
          <w:color w:val="auto"/>
          <w:sz w:val="24"/>
          <w:szCs w:val="24"/>
        </w:rPr>
        <w:t>职务：_________日期：__________</w:t>
      </w:r>
    </w:p>
    <w:p>
      <w:pPr>
        <w:spacing w:after="0" w:line="560" w:lineRule="exact"/>
        <w:jc w:val="right"/>
        <w:rPr>
          <w:rFonts w:ascii="宋体" w:hAnsi="宋体" w:cs="宋体"/>
          <w:color w:val="auto"/>
          <w:sz w:val="24"/>
          <w:szCs w:val="24"/>
        </w:rPr>
      </w:pPr>
    </w:p>
    <w:p>
      <w:pPr>
        <w:spacing w:after="0" w:line="560" w:lineRule="exact"/>
        <w:jc w:val="right"/>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名称（公章）：_____________</w:t>
      </w:r>
    </w:p>
    <w:p>
      <w:pPr>
        <w:rPr>
          <w:rFonts w:ascii="宋体" w:hAnsi="宋体" w:cs="宋体"/>
          <w:color w:val="auto"/>
          <w:sz w:val="24"/>
          <w:szCs w:val="24"/>
        </w:rPr>
      </w:pPr>
    </w:p>
    <w:p>
      <w:pPr>
        <w:rPr>
          <w:rFonts w:ascii="宋体" w:hAnsi="宋体" w:cs="宋体"/>
          <w:b/>
          <w:color w:val="auto"/>
          <w:sz w:val="24"/>
          <w:szCs w:val="24"/>
        </w:rPr>
      </w:pPr>
      <w:r>
        <w:rPr>
          <w:rFonts w:hint="eastAsia" w:ascii="宋体" w:hAnsi="宋体" w:cs="宋体"/>
          <w:b/>
          <w:color w:val="auto"/>
          <w:sz w:val="24"/>
          <w:szCs w:val="24"/>
        </w:rPr>
        <w:t>附件5</w:t>
      </w:r>
    </w:p>
    <w:p>
      <w:pPr>
        <w:tabs>
          <w:tab w:val="left" w:pos="3780"/>
          <w:tab w:val="left" w:pos="3960"/>
        </w:tabs>
        <w:spacing w:line="460" w:lineRule="exact"/>
        <w:jc w:val="center"/>
        <w:rPr>
          <w:rFonts w:ascii="宋体" w:hAnsi="宋体" w:cs="宋体"/>
          <w:b/>
          <w:color w:val="auto"/>
          <w:sz w:val="24"/>
        </w:rPr>
      </w:pPr>
      <w:r>
        <w:rPr>
          <w:rFonts w:hint="eastAsia" w:ascii="宋体" w:hAnsi="宋体" w:cs="宋体"/>
          <w:b/>
          <w:color w:val="auto"/>
          <w:sz w:val="24"/>
        </w:rPr>
        <w:t>报价一览表</w:t>
      </w:r>
    </w:p>
    <w:p>
      <w:pPr>
        <w:spacing w:line="460" w:lineRule="exact"/>
        <w:rPr>
          <w:rFonts w:ascii="宋体" w:hAnsi="宋体" w:cs="宋体"/>
          <w:b/>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r>
        <w:rPr>
          <w:rFonts w:hint="eastAsia" w:ascii="宋体" w:hAnsi="宋体" w:cs="宋体"/>
          <w:color w:val="auto"/>
          <w:sz w:val="24"/>
        </w:rPr>
        <w:t xml:space="preserve">      </w:t>
      </w:r>
      <w:r>
        <w:rPr>
          <w:rFonts w:hint="eastAsia" w:ascii="宋体" w:hAnsi="宋体" w:cs="宋体"/>
          <w:b/>
          <w:color w:val="auto"/>
          <w:sz w:val="24"/>
        </w:rPr>
        <w:t xml:space="preserve">            </w:t>
      </w:r>
    </w:p>
    <w:p>
      <w:pPr>
        <w:spacing w:line="460" w:lineRule="exact"/>
        <w:rPr>
          <w:rFonts w:ascii="宋体" w:hAnsi="宋体" w:cs="宋体"/>
          <w:b/>
          <w:color w:val="auto"/>
          <w:sz w:val="24"/>
        </w:rPr>
      </w:pPr>
      <w:r>
        <w:rPr>
          <w:rFonts w:hint="eastAsia" w:ascii="宋体" w:hAnsi="宋体" w:cs="宋体"/>
          <w:color w:val="auto"/>
          <w:sz w:val="24"/>
        </w:rPr>
        <w:t>项目编号：</w:t>
      </w:r>
      <w:r>
        <w:rPr>
          <w:rFonts w:hint="eastAsia" w:ascii="宋体" w:hAnsi="宋体" w:cs="宋体"/>
          <w:color w:val="auto"/>
          <w:sz w:val="24"/>
          <w:u w:val="single"/>
        </w:rPr>
        <w:t xml:space="preserve">                    </w:t>
      </w:r>
      <w:r>
        <w:rPr>
          <w:rFonts w:hint="eastAsia" w:ascii="宋体" w:hAnsi="宋体" w:cs="宋体"/>
          <w:color w:val="auto"/>
          <w:sz w:val="24"/>
        </w:rPr>
        <w:t xml:space="preserve">      </w:t>
      </w:r>
      <w:r>
        <w:rPr>
          <w:rFonts w:hint="eastAsia" w:ascii="宋体" w:hAnsi="宋体" w:cs="宋体"/>
          <w:b/>
          <w:color w:val="auto"/>
          <w:sz w:val="24"/>
        </w:rPr>
        <w:t xml:space="preserve">            </w:t>
      </w:r>
    </w:p>
    <w:p>
      <w:pPr>
        <w:spacing w:line="460" w:lineRule="exact"/>
        <w:rPr>
          <w:rFonts w:ascii="宋体" w:hAnsi="宋体" w:cs="宋体"/>
          <w:b/>
          <w:color w:val="auto"/>
          <w:sz w:val="24"/>
        </w:rPr>
      </w:pPr>
      <w:r>
        <w:rPr>
          <w:rFonts w:hint="eastAsia" w:ascii="宋体" w:hAnsi="宋体" w:cs="宋体"/>
          <w:color w:val="auto"/>
          <w:sz w:val="24"/>
        </w:rPr>
        <w:t xml:space="preserve">                                                              单位：元</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918"/>
        <w:gridCol w:w="723"/>
        <w:gridCol w:w="845"/>
        <w:gridCol w:w="900"/>
        <w:gridCol w:w="720"/>
        <w:gridCol w:w="720"/>
        <w:gridCol w:w="778"/>
        <w:gridCol w:w="1116"/>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dxa"/>
            <w:vAlign w:val="center"/>
          </w:tcPr>
          <w:p>
            <w:pPr>
              <w:spacing w:line="460" w:lineRule="exact"/>
              <w:jc w:val="center"/>
              <w:rPr>
                <w:rFonts w:ascii="宋体" w:hAnsi="宋体" w:cs="宋体"/>
                <w:color w:val="auto"/>
                <w:sz w:val="24"/>
              </w:rPr>
            </w:pPr>
            <w:r>
              <w:rPr>
                <w:rFonts w:hint="eastAsia" w:ascii="宋体" w:hAnsi="宋体" w:cs="宋体"/>
                <w:color w:val="auto"/>
                <w:sz w:val="24"/>
              </w:rPr>
              <w:t>序号</w:t>
            </w:r>
          </w:p>
        </w:tc>
        <w:tc>
          <w:tcPr>
            <w:tcW w:w="918" w:type="dxa"/>
            <w:vAlign w:val="center"/>
          </w:tcPr>
          <w:p>
            <w:pPr>
              <w:spacing w:line="460" w:lineRule="exact"/>
              <w:jc w:val="center"/>
              <w:rPr>
                <w:rFonts w:ascii="宋体" w:hAnsi="宋体" w:cs="宋体"/>
                <w:color w:val="auto"/>
                <w:sz w:val="24"/>
              </w:rPr>
            </w:pPr>
            <w:r>
              <w:rPr>
                <w:rFonts w:hint="eastAsia" w:ascii="宋体" w:hAnsi="宋体" w:cs="宋体"/>
                <w:color w:val="auto"/>
                <w:sz w:val="24"/>
              </w:rPr>
              <w:t>货物名称</w:t>
            </w:r>
          </w:p>
        </w:tc>
        <w:tc>
          <w:tcPr>
            <w:tcW w:w="723" w:type="dxa"/>
            <w:vAlign w:val="center"/>
          </w:tcPr>
          <w:p>
            <w:pPr>
              <w:spacing w:line="460" w:lineRule="exact"/>
              <w:jc w:val="center"/>
              <w:rPr>
                <w:rFonts w:ascii="宋体" w:hAnsi="宋体" w:cs="宋体"/>
                <w:color w:val="auto"/>
                <w:sz w:val="24"/>
              </w:rPr>
            </w:pPr>
            <w:r>
              <w:rPr>
                <w:rFonts w:hint="eastAsia" w:ascii="宋体" w:hAnsi="宋体" w:cs="宋体"/>
                <w:color w:val="auto"/>
                <w:sz w:val="24"/>
              </w:rPr>
              <w:t>品牌</w:t>
            </w:r>
          </w:p>
        </w:tc>
        <w:tc>
          <w:tcPr>
            <w:tcW w:w="845" w:type="dxa"/>
            <w:vAlign w:val="center"/>
          </w:tcPr>
          <w:p>
            <w:pPr>
              <w:spacing w:line="460" w:lineRule="exact"/>
              <w:jc w:val="center"/>
              <w:rPr>
                <w:rFonts w:ascii="宋体" w:hAnsi="宋体" w:cs="宋体"/>
                <w:color w:val="auto"/>
                <w:sz w:val="24"/>
              </w:rPr>
            </w:pPr>
            <w:r>
              <w:rPr>
                <w:rFonts w:hint="eastAsia" w:ascii="宋体" w:hAnsi="宋体" w:cs="宋体"/>
                <w:color w:val="auto"/>
                <w:sz w:val="24"/>
              </w:rPr>
              <w:t>规格型号</w:t>
            </w:r>
          </w:p>
        </w:tc>
        <w:tc>
          <w:tcPr>
            <w:tcW w:w="900" w:type="dxa"/>
            <w:vAlign w:val="center"/>
          </w:tcPr>
          <w:p>
            <w:pPr>
              <w:spacing w:line="460" w:lineRule="exact"/>
              <w:jc w:val="center"/>
              <w:rPr>
                <w:rFonts w:ascii="宋体" w:hAnsi="宋体" w:cs="宋体"/>
                <w:color w:val="auto"/>
                <w:sz w:val="24"/>
              </w:rPr>
            </w:pPr>
            <w:r>
              <w:rPr>
                <w:rFonts w:hint="eastAsia" w:ascii="宋体" w:hAnsi="宋体" w:cs="宋体"/>
                <w:color w:val="auto"/>
                <w:sz w:val="24"/>
              </w:rPr>
              <w:t>制造商</w:t>
            </w:r>
          </w:p>
        </w:tc>
        <w:tc>
          <w:tcPr>
            <w:tcW w:w="720" w:type="dxa"/>
            <w:vAlign w:val="center"/>
          </w:tcPr>
          <w:p>
            <w:pPr>
              <w:spacing w:line="460" w:lineRule="exact"/>
              <w:jc w:val="center"/>
              <w:rPr>
                <w:rFonts w:ascii="宋体" w:hAnsi="宋体" w:cs="宋体"/>
                <w:color w:val="auto"/>
                <w:sz w:val="24"/>
              </w:rPr>
            </w:pPr>
            <w:r>
              <w:rPr>
                <w:rFonts w:hint="eastAsia" w:ascii="宋体" w:hAnsi="宋体" w:cs="宋体"/>
                <w:color w:val="auto"/>
                <w:sz w:val="24"/>
              </w:rPr>
              <w:t>产地</w:t>
            </w:r>
          </w:p>
        </w:tc>
        <w:tc>
          <w:tcPr>
            <w:tcW w:w="720" w:type="dxa"/>
            <w:vAlign w:val="center"/>
          </w:tcPr>
          <w:p>
            <w:pPr>
              <w:spacing w:line="460" w:lineRule="exact"/>
              <w:jc w:val="center"/>
              <w:rPr>
                <w:rFonts w:ascii="宋体" w:hAnsi="宋体" w:cs="宋体"/>
                <w:color w:val="auto"/>
                <w:sz w:val="24"/>
              </w:rPr>
            </w:pPr>
            <w:r>
              <w:rPr>
                <w:rFonts w:hint="eastAsia" w:ascii="宋体" w:hAnsi="宋体" w:cs="宋体"/>
                <w:color w:val="auto"/>
                <w:sz w:val="24"/>
              </w:rPr>
              <w:t>数量</w:t>
            </w:r>
          </w:p>
        </w:tc>
        <w:tc>
          <w:tcPr>
            <w:tcW w:w="778" w:type="dxa"/>
            <w:vAlign w:val="center"/>
          </w:tcPr>
          <w:p>
            <w:pPr>
              <w:spacing w:line="460" w:lineRule="exact"/>
              <w:jc w:val="center"/>
              <w:rPr>
                <w:rFonts w:ascii="宋体" w:hAnsi="宋体" w:cs="宋体"/>
                <w:color w:val="auto"/>
                <w:sz w:val="24"/>
              </w:rPr>
            </w:pPr>
            <w:r>
              <w:rPr>
                <w:rFonts w:hint="eastAsia" w:ascii="宋体" w:hAnsi="宋体" w:cs="宋体"/>
                <w:color w:val="auto"/>
                <w:sz w:val="24"/>
              </w:rPr>
              <w:t>总价</w:t>
            </w:r>
          </w:p>
        </w:tc>
        <w:tc>
          <w:tcPr>
            <w:tcW w:w="1116" w:type="dxa"/>
            <w:vAlign w:val="center"/>
          </w:tcPr>
          <w:p>
            <w:pPr>
              <w:spacing w:line="460" w:lineRule="exact"/>
              <w:jc w:val="center"/>
              <w:rPr>
                <w:rFonts w:ascii="宋体" w:hAnsi="宋体" w:cs="宋体"/>
                <w:color w:val="auto"/>
                <w:sz w:val="24"/>
              </w:rPr>
            </w:pPr>
            <w:r>
              <w:rPr>
                <w:rFonts w:hint="eastAsia" w:ascii="宋体" w:hAnsi="宋体" w:cs="宋体"/>
                <w:color w:val="auto"/>
                <w:sz w:val="24"/>
              </w:rPr>
              <w:t>交货期</w:t>
            </w:r>
          </w:p>
        </w:tc>
        <w:tc>
          <w:tcPr>
            <w:tcW w:w="900" w:type="dxa"/>
            <w:vAlign w:val="center"/>
          </w:tcPr>
          <w:p>
            <w:pPr>
              <w:spacing w:line="460" w:lineRule="exact"/>
              <w:jc w:val="center"/>
              <w:rPr>
                <w:rFonts w:ascii="宋体" w:hAnsi="宋体" w:cs="宋体"/>
                <w:color w:val="auto"/>
                <w:sz w:val="24"/>
              </w:rPr>
            </w:pPr>
            <w:r>
              <w:rPr>
                <w:rFonts w:hint="eastAsia" w:ascii="宋体" w:hAnsi="宋体" w:cs="宋体"/>
                <w:color w:val="auto"/>
                <w:sz w:val="24"/>
              </w:rPr>
              <w:t>交货地点</w:t>
            </w:r>
          </w:p>
        </w:tc>
        <w:tc>
          <w:tcPr>
            <w:tcW w:w="900" w:type="dxa"/>
            <w:vAlign w:val="center"/>
          </w:tcPr>
          <w:p>
            <w:pPr>
              <w:spacing w:line="460" w:lineRule="exact"/>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335" w:type="dxa"/>
            <w:gridSpan w:val="11"/>
            <w:tcBorders>
              <w:bottom w:val="single" w:color="auto" w:sz="4" w:space="0"/>
            </w:tcBorders>
            <w:vAlign w:val="center"/>
          </w:tcPr>
          <w:p>
            <w:pPr>
              <w:spacing w:line="460" w:lineRule="exact"/>
              <w:rPr>
                <w:rFonts w:ascii="宋体" w:hAnsi="宋体" w:cs="宋体"/>
                <w:color w:val="auto"/>
                <w:sz w:val="24"/>
              </w:rPr>
            </w:pPr>
            <w:r>
              <w:rPr>
                <w:rFonts w:hint="eastAsia" w:ascii="宋体" w:hAnsi="宋体" w:cs="宋体"/>
                <w:color w:val="auto"/>
                <w:sz w:val="24"/>
              </w:rPr>
              <w:t>总价</w:t>
            </w:r>
            <w:r>
              <w:rPr>
                <w:rFonts w:hint="eastAsia" w:ascii="宋体" w:hAnsi="宋体" w:cs="宋体"/>
                <w:color w:val="auto"/>
                <w:sz w:val="24"/>
                <w:u w:val="single"/>
              </w:rPr>
              <w:t xml:space="preserve">            </w:t>
            </w:r>
            <w:r>
              <w:rPr>
                <w:rFonts w:hint="eastAsia" w:ascii="宋体" w:hAnsi="宋体" w:cs="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5" w:type="dxa"/>
            <w:tcBorders>
              <w:bottom w:val="single" w:color="auto" w:sz="4" w:space="0"/>
            </w:tcBorders>
            <w:vAlign w:val="center"/>
          </w:tcPr>
          <w:p>
            <w:pPr>
              <w:spacing w:line="460" w:lineRule="exact"/>
              <w:jc w:val="center"/>
              <w:rPr>
                <w:rFonts w:ascii="宋体" w:hAnsi="宋体" w:cs="宋体"/>
                <w:color w:val="auto"/>
                <w:sz w:val="24"/>
              </w:rPr>
            </w:pPr>
            <w:r>
              <w:rPr>
                <w:rFonts w:hint="eastAsia" w:ascii="宋体" w:hAnsi="宋体" w:cs="宋体"/>
                <w:color w:val="auto"/>
                <w:sz w:val="24"/>
              </w:rPr>
              <w:t>1</w:t>
            </w:r>
          </w:p>
        </w:tc>
        <w:tc>
          <w:tcPr>
            <w:tcW w:w="918" w:type="dxa"/>
            <w:tcBorders>
              <w:bottom w:val="single" w:color="auto" w:sz="4" w:space="0"/>
            </w:tcBorders>
            <w:vAlign w:val="center"/>
          </w:tcPr>
          <w:p>
            <w:pPr>
              <w:spacing w:line="460" w:lineRule="exact"/>
              <w:jc w:val="center"/>
              <w:rPr>
                <w:rFonts w:ascii="宋体" w:hAnsi="宋体" w:cs="宋体"/>
                <w:color w:val="auto"/>
                <w:sz w:val="24"/>
              </w:rPr>
            </w:pPr>
          </w:p>
        </w:tc>
        <w:tc>
          <w:tcPr>
            <w:tcW w:w="723" w:type="dxa"/>
            <w:tcBorders>
              <w:bottom w:val="single" w:color="auto" w:sz="4" w:space="0"/>
            </w:tcBorders>
            <w:vAlign w:val="center"/>
          </w:tcPr>
          <w:p>
            <w:pPr>
              <w:spacing w:line="460" w:lineRule="exact"/>
              <w:jc w:val="center"/>
              <w:rPr>
                <w:rFonts w:ascii="宋体" w:hAnsi="宋体" w:cs="宋体"/>
                <w:color w:val="auto"/>
                <w:sz w:val="24"/>
              </w:rPr>
            </w:pPr>
          </w:p>
        </w:tc>
        <w:tc>
          <w:tcPr>
            <w:tcW w:w="845"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c>
          <w:tcPr>
            <w:tcW w:w="720" w:type="dxa"/>
            <w:tcBorders>
              <w:bottom w:val="single" w:color="auto" w:sz="4" w:space="0"/>
            </w:tcBorders>
            <w:vAlign w:val="center"/>
          </w:tcPr>
          <w:p>
            <w:pPr>
              <w:spacing w:line="460" w:lineRule="exact"/>
              <w:jc w:val="center"/>
              <w:rPr>
                <w:rFonts w:ascii="宋体" w:hAnsi="宋体" w:cs="宋体"/>
                <w:color w:val="auto"/>
                <w:sz w:val="24"/>
              </w:rPr>
            </w:pPr>
          </w:p>
        </w:tc>
        <w:tc>
          <w:tcPr>
            <w:tcW w:w="720" w:type="dxa"/>
            <w:tcBorders>
              <w:bottom w:val="single" w:color="auto" w:sz="4" w:space="0"/>
            </w:tcBorders>
            <w:vAlign w:val="center"/>
          </w:tcPr>
          <w:p>
            <w:pPr>
              <w:spacing w:line="460" w:lineRule="exact"/>
              <w:jc w:val="center"/>
              <w:rPr>
                <w:rFonts w:ascii="宋体" w:hAnsi="宋体" w:cs="宋体"/>
                <w:color w:val="auto"/>
                <w:sz w:val="24"/>
              </w:rPr>
            </w:pPr>
          </w:p>
        </w:tc>
        <w:tc>
          <w:tcPr>
            <w:tcW w:w="778" w:type="dxa"/>
            <w:tcBorders>
              <w:bottom w:val="single" w:color="auto" w:sz="4" w:space="0"/>
            </w:tcBorders>
            <w:vAlign w:val="center"/>
          </w:tcPr>
          <w:p>
            <w:pPr>
              <w:spacing w:line="460" w:lineRule="exact"/>
              <w:jc w:val="center"/>
              <w:rPr>
                <w:rFonts w:ascii="宋体" w:hAnsi="宋体" w:cs="宋体"/>
                <w:color w:val="auto"/>
                <w:sz w:val="24"/>
              </w:rPr>
            </w:pPr>
          </w:p>
        </w:tc>
        <w:tc>
          <w:tcPr>
            <w:tcW w:w="1116"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815" w:type="dxa"/>
            <w:tcBorders>
              <w:bottom w:val="single" w:color="auto" w:sz="4" w:space="0"/>
            </w:tcBorders>
            <w:vAlign w:val="center"/>
          </w:tcPr>
          <w:p>
            <w:pPr>
              <w:spacing w:line="460" w:lineRule="exact"/>
              <w:jc w:val="center"/>
              <w:rPr>
                <w:rFonts w:ascii="宋体" w:hAnsi="宋体" w:cs="宋体"/>
                <w:color w:val="auto"/>
                <w:sz w:val="24"/>
              </w:rPr>
            </w:pPr>
            <w:r>
              <w:rPr>
                <w:rFonts w:hint="eastAsia" w:ascii="宋体" w:hAnsi="宋体" w:cs="宋体"/>
                <w:color w:val="auto"/>
                <w:sz w:val="24"/>
              </w:rPr>
              <w:t>2</w:t>
            </w:r>
          </w:p>
        </w:tc>
        <w:tc>
          <w:tcPr>
            <w:tcW w:w="918" w:type="dxa"/>
            <w:tcBorders>
              <w:bottom w:val="single" w:color="auto" w:sz="4" w:space="0"/>
            </w:tcBorders>
            <w:vAlign w:val="center"/>
          </w:tcPr>
          <w:p>
            <w:pPr>
              <w:spacing w:line="460" w:lineRule="exact"/>
              <w:jc w:val="center"/>
              <w:rPr>
                <w:rFonts w:ascii="宋体" w:hAnsi="宋体" w:cs="宋体"/>
                <w:color w:val="auto"/>
                <w:sz w:val="24"/>
              </w:rPr>
            </w:pPr>
          </w:p>
        </w:tc>
        <w:tc>
          <w:tcPr>
            <w:tcW w:w="723" w:type="dxa"/>
            <w:tcBorders>
              <w:bottom w:val="single" w:color="auto" w:sz="4" w:space="0"/>
            </w:tcBorders>
            <w:vAlign w:val="center"/>
          </w:tcPr>
          <w:p>
            <w:pPr>
              <w:spacing w:line="460" w:lineRule="exact"/>
              <w:jc w:val="center"/>
              <w:rPr>
                <w:rFonts w:ascii="宋体" w:hAnsi="宋体" w:cs="宋体"/>
                <w:color w:val="auto"/>
                <w:sz w:val="24"/>
              </w:rPr>
            </w:pPr>
          </w:p>
        </w:tc>
        <w:tc>
          <w:tcPr>
            <w:tcW w:w="845"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c>
          <w:tcPr>
            <w:tcW w:w="720" w:type="dxa"/>
            <w:tcBorders>
              <w:bottom w:val="single" w:color="auto" w:sz="4" w:space="0"/>
            </w:tcBorders>
            <w:vAlign w:val="center"/>
          </w:tcPr>
          <w:p>
            <w:pPr>
              <w:spacing w:line="460" w:lineRule="exact"/>
              <w:jc w:val="center"/>
              <w:rPr>
                <w:rFonts w:ascii="宋体" w:hAnsi="宋体" w:cs="宋体"/>
                <w:color w:val="auto"/>
                <w:sz w:val="24"/>
              </w:rPr>
            </w:pPr>
          </w:p>
        </w:tc>
        <w:tc>
          <w:tcPr>
            <w:tcW w:w="720" w:type="dxa"/>
            <w:tcBorders>
              <w:bottom w:val="single" w:color="auto" w:sz="4" w:space="0"/>
            </w:tcBorders>
            <w:vAlign w:val="center"/>
          </w:tcPr>
          <w:p>
            <w:pPr>
              <w:spacing w:line="460" w:lineRule="exact"/>
              <w:jc w:val="center"/>
              <w:rPr>
                <w:rFonts w:ascii="宋体" w:hAnsi="宋体" w:cs="宋体"/>
                <w:color w:val="auto"/>
                <w:sz w:val="24"/>
              </w:rPr>
            </w:pPr>
          </w:p>
        </w:tc>
        <w:tc>
          <w:tcPr>
            <w:tcW w:w="778" w:type="dxa"/>
            <w:tcBorders>
              <w:bottom w:val="single" w:color="auto" w:sz="4" w:space="0"/>
            </w:tcBorders>
            <w:vAlign w:val="center"/>
          </w:tcPr>
          <w:p>
            <w:pPr>
              <w:spacing w:line="460" w:lineRule="exact"/>
              <w:jc w:val="center"/>
              <w:rPr>
                <w:rFonts w:ascii="宋体" w:hAnsi="宋体" w:cs="宋体"/>
                <w:color w:val="auto"/>
                <w:sz w:val="24"/>
              </w:rPr>
            </w:pPr>
          </w:p>
        </w:tc>
        <w:tc>
          <w:tcPr>
            <w:tcW w:w="1116"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815" w:type="dxa"/>
            <w:tcBorders>
              <w:bottom w:val="single" w:color="auto" w:sz="4" w:space="0"/>
            </w:tcBorders>
            <w:vAlign w:val="center"/>
          </w:tcPr>
          <w:p>
            <w:pPr>
              <w:spacing w:line="460" w:lineRule="exact"/>
              <w:jc w:val="center"/>
              <w:rPr>
                <w:rFonts w:ascii="宋体" w:hAnsi="宋体" w:cs="宋体"/>
                <w:color w:val="auto"/>
                <w:sz w:val="24"/>
              </w:rPr>
            </w:pPr>
            <w:r>
              <w:rPr>
                <w:rFonts w:hint="eastAsia" w:ascii="宋体" w:hAnsi="宋体" w:cs="宋体"/>
                <w:color w:val="auto"/>
                <w:sz w:val="24"/>
              </w:rPr>
              <w:t>3</w:t>
            </w:r>
          </w:p>
        </w:tc>
        <w:tc>
          <w:tcPr>
            <w:tcW w:w="918" w:type="dxa"/>
            <w:tcBorders>
              <w:bottom w:val="single" w:color="auto" w:sz="4" w:space="0"/>
            </w:tcBorders>
            <w:vAlign w:val="center"/>
          </w:tcPr>
          <w:p>
            <w:pPr>
              <w:spacing w:line="460" w:lineRule="exact"/>
              <w:jc w:val="center"/>
              <w:rPr>
                <w:rFonts w:ascii="宋体" w:hAnsi="宋体" w:cs="宋体"/>
                <w:color w:val="auto"/>
                <w:sz w:val="24"/>
              </w:rPr>
            </w:pPr>
          </w:p>
        </w:tc>
        <w:tc>
          <w:tcPr>
            <w:tcW w:w="723" w:type="dxa"/>
            <w:tcBorders>
              <w:bottom w:val="single" w:color="auto" w:sz="4" w:space="0"/>
            </w:tcBorders>
            <w:vAlign w:val="center"/>
          </w:tcPr>
          <w:p>
            <w:pPr>
              <w:spacing w:line="460" w:lineRule="exact"/>
              <w:jc w:val="center"/>
              <w:rPr>
                <w:rFonts w:ascii="宋体" w:hAnsi="宋体" w:cs="宋体"/>
                <w:color w:val="auto"/>
                <w:sz w:val="24"/>
              </w:rPr>
            </w:pPr>
          </w:p>
        </w:tc>
        <w:tc>
          <w:tcPr>
            <w:tcW w:w="845"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c>
          <w:tcPr>
            <w:tcW w:w="720" w:type="dxa"/>
            <w:tcBorders>
              <w:bottom w:val="single" w:color="auto" w:sz="4" w:space="0"/>
            </w:tcBorders>
            <w:vAlign w:val="center"/>
          </w:tcPr>
          <w:p>
            <w:pPr>
              <w:spacing w:line="460" w:lineRule="exact"/>
              <w:jc w:val="center"/>
              <w:rPr>
                <w:rFonts w:ascii="宋体" w:hAnsi="宋体" w:cs="宋体"/>
                <w:color w:val="auto"/>
                <w:sz w:val="24"/>
              </w:rPr>
            </w:pPr>
          </w:p>
        </w:tc>
        <w:tc>
          <w:tcPr>
            <w:tcW w:w="720" w:type="dxa"/>
            <w:tcBorders>
              <w:bottom w:val="single" w:color="auto" w:sz="4" w:space="0"/>
            </w:tcBorders>
            <w:vAlign w:val="center"/>
          </w:tcPr>
          <w:p>
            <w:pPr>
              <w:spacing w:line="460" w:lineRule="exact"/>
              <w:jc w:val="center"/>
              <w:rPr>
                <w:rFonts w:ascii="宋体" w:hAnsi="宋体" w:cs="宋体"/>
                <w:color w:val="auto"/>
                <w:sz w:val="24"/>
              </w:rPr>
            </w:pPr>
          </w:p>
        </w:tc>
        <w:tc>
          <w:tcPr>
            <w:tcW w:w="778" w:type="dxa"/>
            <w:tcBorders>
              <w:bottom w:val="single" w:color="auto" w:sz="4" w:space="0"/>
            </w:tcBorders>
            <w:vAlign w:val="center"/>
          </w:tcPr>
          <w:p>
            <w:pPr>
              <w:spacing w:line="460" w:lineRule="exact"/>
              <w:jc w:val="center"/>
              <w:rPr>
                <w:rFonts w:ascii="宋体" w:hAnsi="宋体" w:cs="宋体"/>
                <w:color w:val="auto"/>
                <w:sz w:val="24"/>
              </w:rPr>
            </w:pPr>
          </w:p>
        </w:tc>
        <w:tc>
          <w:tcPr>
            <w:tcW w:w="1116"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815" w:type="dxa"/>
            <w:tcBorders>
              <w:bottom w:val="single" w:color="auto" w:sz="4" w:space="0"/>
            </w:tcBorders>
            <w:vAlign w:val="center"/>
          </w:tcPr>
          <w:p>
            <w:pPr>
              <w:spacing w:line="460" w:lineRule="exact"/>
              <w:jc w:val="center"/>
              <w:rPr>
                <w:rFonts w:ascii="宋体" w:hAnsi="宋体" w:cs="宋体"/>
                <w:color w:val="auto"/>
                <w:sz w:val="24"/>
              </w:rPr>
            </w:pPr>
          </w:p>
        </w:tc>
        <w:tc>
          <w:tcPr>
            <w:tcW w:w="918" w:type="dxa"/>
            <w:tcBorders>
              <w:bottom w:val="single" w:color="auto" w:sz="4" w:space="0"/>
            </w:tcBorders>
            <w:vAlign w:val="center"/>
          </w:tcPr>
          <w:p>
            <w:pPr>
              <w:spacing w:line="460" w:lineRule="exact"/>
              <w:jc w:val="center"/>
              <w:rPr>
                <w:rFonts w:ascii="宋体" w:hAnsi="宋体" w:cs="宋体"/>
                <w:color w:val="auto"/>
                <w:sz w:val="24"/>
              </w:rPr>
            </w:pPr>
          </w:p>
        </w:tc>
        <w:tc>
          <w:tcPr>
            <w:tcW w:w="723" w:type="dxa"/>
            <w:tcBorders>
              <w:bottom w:val="single" w:color="auto" w:sz="4" w:space="0"/>
            </w:tcBorders>
            <w:vAlign w:val="center"/>
          </w:tcPr>
          <w:p>
            <w:pPr>
              <w:spacing w:line="460" w:lineRule="exact"/>
              <w:jc w:val="center"/>
              <w:rPr>
                <w:rFonts w:ascii="宋体" w:hAnsi="宋体" w:cs="宋体"/>
                <w:color w:val="auto"/>
                <w:sz w:val="24"/>
              </w:rPr>
            </w:pPr>
          </w:p>
        </w:tc>
        <w:tc>
          <w:tcPr>
            <w:tcW w:w="845"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c>
          <w:tcPr>
            <w:tcW w:w="720" w:type="dxa"/>
            <w:tcBorders>
              <w:bottom w:val="single" w:color="auto" w:sz="4" w:space="0"/>
            </w:tcBorders>
            <w:vAlign w:val="center"/>
          </w:tcPr>
          <w:p>
            <w:pPr>
              <w:spacing w:line="460" w:lineRule="exact"/>
              <w:jc w:val="center"/>
              <w:rPr>
                <w:rFonts w:ascii="宋体" w:hAnsi="宋体" w:cs="宋体"/>
                <w:color w:val="auto"/>
                <w:sz w:val="24"/>
              </w:rPr>
            </w:pPr>
          </w:p>
        </w:tc>
        <w:tc>
          <w:tcPr>
            <w:tcW w:w="720" w:type="dxa"/>
            <w:tcBorders>
              <w:bottom w:val="single" w:color="auto" w:sz="4" w:space="0"/>
            </w:tcBorders>
            <w:vAlign w:val="center"/>
          </w:tcPr>
          <w:p>
            <w:pPr>
              <w:spacing w:line="460" w:lineRule="exact"/>
              <w:jc w:val="center"/>
              <w:rPr>
                <w:rFonts w:ascii="宋体" w:hAnsi="宋体" w:cs="宋体"/>
                <w:color w:val="auto"/>
                <w:sz w:val="24"/>
              </w:rPr>
            </w:pPr>
          </w:p>
        </w:tc>
        <w:tc>
          <w:tcPr>
            <w:tcW w:w="778" w:type="dxa"/>
            <w:tcBorders>
              <w:bottom w:val="single" w:color="auto" w:sz="4" w:space="0"/>
            </w:tcBorders>
            <w:vAlign w:val="center"/>
          </w:tcPr>
          <w:p>
            <w:pPr>
              <w:spacing w:line="460" w:lineRule="exact"/>
              <w:jc w:val="center"/>
              <w:rPr>
                <w:rFonts w:ascii="宋体" w:hAnsi="宋体" w:cs="宋体"/>
                <w:color w:val="auto"/>
                <w:sz w:val="24"/>
              </w:rPr>
            </w:pPr>
          </w:p>
        </w:tc>
        <w:tc>
          <w:tcPr>
            <w:tcW w:w="1116"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815" w:type="dxa"/>
            <w:tcBorders>
              <w:bottom w:val="single" w:color="auto" w:sz="4" w:space="0"/>
            </w:tcBorders>
            <w:vAlign w:val="center"/>
          </w:tcPr>
          <w:p>
            <w:pPr>
              <w:spacing w:line="460" w:lineRule="exact"/>
              <w:jc w:val="center"/>
              <w:rPr>
                <w:rFonts w:ascii="宋体" w:hAnsi="宋体" w:cs="宋体"/>
                <w:color w:val="auto"/>
                <w:sz w:val="24"/>
              </w:rPr>
            </w:pPr>
          </w:p>
        </w:tc>
        <w:tc>
          <w:tcPr>
            <w:tcW w:w="918" w:type="dxa"/>
            <w:tcBorders>
              <w:bottom w:val="single" w:color="auto" w:sz="4" w:space="0"/>
            </w:tcBorders>
            <w:vAlign w:val="center"/>
          </w:tcPr>
          <w:p>
            <w:pPr>
              <w:spacing w:line="460" w:lineRule="exact"/>
              <w:jc w:val="center"/>
              <w:rPr>
                <w:rFonts w:ascii="宋体" w:hAnsi="宋体" w:cs="宋体"/>
                <w:color w:val="auto"/>
                <w:sz w:val="24"/>
              </w:rPr>
            </w:pPr>
          </w:p>
        </w:tc>
        <w:tc>
          <w:tcPr>
            <w:tcW w:w="723" w:type="dxa"/>
            <w:tcBorders>
              <w:bottom w:val="single" w:color="auto" w:sz="4" w:space="0"/>
            </w:tcBorders>
            <w:vAlign w:val="center"/>
          </w:tcPr>
          <w:p>
            <w:pPr>
              <w:spacing w:line="460" w:lineRule="exact"/>
              <w:jc w:val="center"/>
              <w:rPr>
                <w:rFonts w:ascii="宋体" w:hAnsi="宋体" w:cs="宋体"/>
                <w:color w:val="auto"/>
                <w:sz w:val="24"/>
              </w:rPr>
            </w:pPr>
          </w:p>
        </w:tc>
        <w:tc>
          <w:tcPr>
            <w:tcW w:w="845"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c>
          <w:tcPr>
            <w:tcW w:w="720" w:type="dxa"/>
            <w:tcBorders>
              <w:bottom w:val="single" w:color="auto" w:sz="4" w:space="0"/>
            </w:tcBorders>
            <w:vAlign w:val="center"/>
          </w:tcPr>
          <w:p>
            <w:pPr>
              <w:spacing w:line="460" w:lineRule="exact"/>
              <w:jc w:val="center"/>
              <w:rPr>
                <w:rFonts w:ascii="宋体" w:hAnsi="宋体" w:cs="宋体"/>
                <w:color w:val="auto"/>
                <w:sz w:val="24"/>
              </w:rPr>
            </w:pPr>
          </w:p>
        </w:tc>
        <w:tc>
          <w:tcPr>
            <w:tcW w:w="720" w:type="dxa"/>
            <w:tcBorders>
              <w:bottom w:val="single" w:color="auto" w:sz="4" w:space="0"/>
            </w:tcBorders>
            <w:vAlign w:val="center"/>
          </w:tcPr>
          <w:p>
            <w:pPr>
              <w:spacing w:line="460" w:lineRule="exact"/>
              <w:jc w:val="center"/>
              <w:rPr>
                <w:rFonts w:ascii="宋体" w:hAnsi="宋体" w:cs="宋体"/>
                <w:color w:val="auto"/>
                <w:sz w:val="24"/>
              </w:rPr>
            </w:pPr>
          </w:p>
        </w:tc>
        <w:tc>
          <w:tcPr>
            <w:tcW w:w="778" w:type="dxa"/>
            <w:tcBorders>
              <w:bottom w:val="single" w:color="auto" w:sz="4" w:space="0"/>
            </w:tcBorders>
            <w:vAlign w:val="center"/>
          </w:tcPr>
          <w:p>
            <w:pPr>
              <w:spacing w:line="460" w:lineRule="exact"/>
              <w:jc w:val="center"/>
              <w:rPr>
                <w:rFonts w:ascii="宋体" w:hAnsi="宋体" w:cs="宋体"/>
                <w:color w:val="auto"/>
                <w:sz w:val="24"/>
              </w:rPr>
            </w:pPr>
          </w:p>
        </w:tc>
        <w:tc>
          <w:tcPr>
            <w:tcW w:w="1116"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815" w:type="dxa"/>
            <w:tcBorders>
              <w:bottom w:val="single" w:color="auto" w:sz="4" w:space="0"/>
            </w:tcBorders>
            <w:vAlign w:val="center"/>
          </w:tcPr>
          <w:p>
            <w:pPr>
              <w:spacing w:line="460" w:lineRule="exact"/>
              <w:jc w:val="center"/>
              <w:rPr>
                <w:rFonts w:ascii="宋体" w:hAnsi="宋体" w:cs="宋体"/>
                <w:color w:val="auto"/>
                <w:sz w:val="24"/>
              </w:rPr>
            </w:pPr>
          </w:p>
        </w:tc>
        <w:tc>
          <w:tcPr>
            <w:tcW w:w="918" w:type="dxa"/>
            <w:tcBorders>
              <w:bottom w:val="single" w:color="auto" w:sz="4" w:space="0"/>
            </w:tcBorders>
            <w:vAlign w:val="center"/>
          </w:tcPr>
          <w:p>
            <w:pPr>
              <w:spacing w:line="460" w:lineRule="exact"/>
              <w:jc w:val="center"/>
              <w:rPr>
                <w:rFonts w:ascii="宋体" w:hAnsi="宋体" w:cs="宋体"/>
                <w:color w:val="auto"/>
                <w:sz w:val="24"/>
              </w:rPr>
            </w:pPr>
          </w:p>
        </w:tc>
        <w:tc>
          <w:tcPr>
            <w:tcW w:w="723" w:type="dxa"/>
            <w:tcBorders>
              <w:bottom w:val="single" w:color="auto" w:sz="4" w:space="0"/>
            </w:tcBorders>
            <w:vAlign w:val="center"/>
          </w:tcPr>
          <w:p>
            <w:pPr>
              <w:spacing w:line="460" w:lineRule="exact"/>
              <w:jc w:val="center"/>
              <w:rPr>
                <w:rFonts w:ascii="宋体" w:hAnsi="宋体" w:cs="宋体"/>
                <w:color w:val="auto"/>
                <w:sz w:val="24"/>
              </w:rPr>
            </w:pPr>
          </w:p>
        </w:tc>
        <w:tc>
          <w:tcPr>
            <w:tcW w:w="845"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c>
          <w:tcPr>
            <w:tcW w:w="720" w:type="dxa"/>
            <w:tcBorders>
              <w:bottom w:val="single" w:color="auto" w:sz="4" w:space="0"/>
            </w:tcBorders>
            <w:vAlign w:val="center"/>
          </w:tcPr>
          <w:p>
            <w:pPr>
              <w:spacing w:line="460" w:lineRule="exact"/>
              <w:jc w:val="center"/>
              <w:rPr>
                <w:rFonts w:ascii="宋体" w:hAnsi="宋体" w:cs="宋体"/>
                <w:color w:val="auto"/>
                <w:sz w:val="24"/>
              </w:rPr>
            </w:pPr>
          </w:p>
        </w:tc>
        <w:tc>
          <w:tcPr>
            <w:tcW w:w="720" w:type="dxa"/>
            <w:tcBorders>
              <w:bottom w:val="single" w:color="auto" w:sz="4" w:space="0"/>
            </w:tcBorders>
            <w:vAlign w:val="center"/>
          </w:tcPr>
          <w:p>
            <w:pPr>
              <w:spacing w:line="460" w:lineRule="exact"/>
              <w:jc w:val="center"/>
              <w:rPr>
                <w:rFonts w:ascii="宋体" w:hAnsi="宋体" w:cs="宋体"/>
                <w:color w:val="auto"/>
                <w:sz w:val="24"/>
              </w:rPr>
            </w:pPr>
          </w:p>
        </w:tc>
        <w:tc>
          <w:tcPr>
            <w:tcW w:w="778" w:type="dxa"/>
            <w:tcBorders>
              <w:bottom w:val="single" w:color="auto" w:sz="4" w:space="0"/>
            </w:tcBorders>
            <w:vAlign w:val="center"/>
          </w:tcPr>
          <w:p>
            <w:pPr>
              <w:spacing w:line="460" w:lineRule="exact"/>
              <w:jc w:val="center"/>
              <w:rPr>
                <w:rFonts w:ascii="宋体" w:hAnsi="宋体" w:cs="宋体"/>
                <w:color w:val="auto"/>
                <w:sz w:val="24"/>
              </w:rPr>
            </w:pPr>
          </w:p>
        </w:tc>
        <w:tc>
          <w:tcPr>
            <w:tcW w:w="1116"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815" w:type="dxa"/>
            <w:tcBorders>
              <w:bottom w:val="single" w:color="auto" w:sz="4" w:space="0"/>
            </w:tcBorders>
            <w:vAlign w:val="center"/>
          </w:tcPr>
          <w:p>
            <w:pPr>
              <w:spacing w:line="460" w:lineRule="exact"/>
              <w:jc w:val="center"/>
              <w:rPr>
                <w:rFonts w:ascii="宋体" w:hAnsi="宋体" w:cs="宋体"/>
                <w:color w:val="auto"/>
                <w:sz w:val="24"/>
              </w:rPr>
            </w:pPr>
          </w:p>
        </w:tc>
        <w:tc>
          <w:tcPr>
            <w:tcW w:w="918" w:type="dxa"/>
            <w:tcBorders>
              <w:bottom w:val="single" w:color="auto" w:sz="4" w:space="0"/>
            </w:tcBorders>
            <w:vAlign w:val="center"/>
          </w:tcPr>
          <w:p>
            <w:pPr>
              <w:spacing w:line="460" w:lineRule="exact"/>
              <w:jc w:val="center"/>
              <w:rPr>
                <w:rFonts w:ascii="宋体" w:hAnsi="宋体" w:cs="宋体"/>
                <w:color w:val="auto"/>
                <w:sz w:val="24"/>
              </w:rPr>
            </w:pPr>
          </w:p>
        </w:tc>
        <w:tc>
          <w:tcPr>
            <w:tcW w:w="723" w:type="dxa"/>
            <w:tcBorders>
              <w:bottom w:val="single" w:color="auto" w:sz="4" w:space="0"/>
            </w:tcBorders>
            <w:vAlign w:val="center"/>
          </w:tcPr>
          <w:p>
            <w:pPr>
              <w:spacing w:line="460" w:lineRule="exact"/>
              <w:jc w:val="center"/>
              <w:rPr>
                <w:rFonts w:ascii="宋体" w:hAnsi="宋体" w:cs="宋体"/>
                <w:color w:val="auto"/>
                <w:sz w:val="24"/>
              </w:rPr>
            </w:pPr>
          </w:p>
        </w:tc>
        <w:tc>
          <w:tcPr>
            <w:tcW w:w="845"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c>
          <w:tcPr>
            <w:tcW w:w="720" w:type="dxa"/>
            <w:tcBorders>
              <w:bottom w:val="single" w:color="auto" w:sz="4" w:space="0"/>
            </w:tcBorders>
            <w:vAlign w:val="center"/>
          </w:tcPr>
          <w:p>
            <w:pPr>
              <w:spacing w:line="460" w:lineRule="exact"/>
              <w:jc w:val="center"/>
              <w:rPr>
                <w:rFonts w:ascii="宋体" w:hAnsi="宋体" w:cs="宋体"/>
                <w:color w:val="auto"/>
                <w:sz w:val="24"/>
              </w:rPr>
            </w:pPr>
          </w:p>
        </w:tc>
        <w:tc>
          <w:tcPr>
            <w:tcW w:w="720" w:type="dxa"/>
            <w:tcBorders>
              <w:bottom w:val="single" w:color="auto" w:sz="4" w:space="0"/>
            </w:tcBorders>
            <w:vAlign w:val="center"/>
          </w:tcPr>
          <w:p>
            <w:pPr>
              <w:spacing w:line="460" w:lineRule="exact"/>
              <w:jc w:val="center"/>
              <w:rPr>
                <w:rFonts w:ascii="宋体" w:hAnsi="宋体" w:cs="宋体"/>
                <w:color w:val="auto"/>
                <w:sz w:val="24"/>
              </w:rPr>
            </w:pPr>
          </w:p>
        </w:tc>
        <w:tc>
          <w:tcPr>
            <w:tcW w:w="778" w:type="dxa"/>
            <w:tcBorders>
              <w:bottom w:val="single" w:color="auto" w:sz="4" w:space="0"/>
            </w:tcBorders>
            <w:vAlign w:val="center"/>
          </w:tcPr>
          <w:p>
            <w:pPr>
              <w:spacing w:line="460" w:lineRule="exact"/>
              <w:jc w:val="center"/>
              <w:rPr>
                <w:rFonts w:ascii="宋体" w:hAnsi="宋体" w:cs="宋体"/>
                <w:color w:val="auto"/>
                <w:sz w:val="24"/>
              </w:rPr>
            </w:pPr>
          </w:p>
        </w:tc>
        <w:tc>
          <w:tcPr>
            <w:tcW w:w="1116"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15" w:type="dxa"/>
            <w:tcBorders>
              <w:bottom w:val="single" w:color="auto" w:sz="4" w:space="0"/>
            </w:tcBorders>
            <w:vAlign w:val="center"/>
          </w:tcPr>
          <w:p>
            <w:pPr>
              <w:spacing w:line="460" w:lineRule="exact"/>
              <w:jc w:val="center"/>
              <w:rPr>
                <w:rFonts w:ascii="宋体" w:hAnsi="宋体" w:cs="宋体"/>
                <w:color w:val="auto"/>
                <w:sz w:val="24"/>
              </w:rPr>
            </w:pPr>
          </w:p>
        </w:tc>
        <w:tc>
          <w:tcPr>
            <w:tcW w:w="918" w:type="dxa"/>
            <w:tcBorders>
              <w:bottom w:val="single" w:color="auto" w:sz="4" w:space="0"/>
            </w:tcBorders>
            <w:vAlign w:val="center"/>
          </w:tcPr>
          <w:p>
            <w:pPr>
              <w:spacing w:line="460" w:lineRule="exact"/>
              <w:jc w:val="center"/>
              <w:rPr>
                <w:rFonts w:ascii="宋体" w:hAnsi="宋体" w:cs="宋体"/>
                <w:color w:val="auto"/>
                <w:sz w:val="24"/>
              </w:rPr>
            </w:pPr>
          </w:p>
        </w:tc>
        <w:tc>
          <w:tcPr>
            <w:tcW w:w="723" w:type="dxa"/>
            <w:tcBorders>
              <w:bottom w:val="single" w:color="auto" w:sz="4" w:space="0"/>
            </w:tcBorders>
            <w:vAlign w:val="center"/>
          </w:tcPr>
          <w:p>
            <w:pPr>
              <w:spacing w:line="460" w:lineRule="exact"/>
              <w:jc w:val="center"/>
              <w:rPr>
                <w:rFonts w:ascii="宋体" w:hAnsi="宋体" w:cs="宋体"/>
                <w:color w:val="auto"/>
                <w:sz w:val="24"/>
              </w:rPr>
            </w:pPr>
          </w:p>
        </w:tc>
        <w:tc>
          <w:tcPr>
            <w:tcW w:w="845"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c>
          <w:tcPr>
            <w:tcW w:w="720" w:type="dxa"/>
            <w:tcBorders>
              <w:bottom w:val="single" w:color="auto" w:sz="4" w:space="0"/>
            </w:tcBorders>
            <w:vAlign w:val="center"/>
          </w:tcPr>
          <w:p>
            <w:pPr>
              <w:spacing w:line="460" w:lineRule="exact"/>
              <w:jc w:val="center"/>
              <w:rPr>
                <w:rFonts w:ascii="宋体" w:hAnsi="宋体" w:cs="宋体"/>
                <w:color w:val="auto"/>
                <w:sz w:val="24"/>
              </w:rPr>
            </w:pPr>
          </w:p>
        </w:tc>
        <w:tc>
          <w:tcPr>
            <w:tcW w:w="720" w:type="dxa"/>
            <w:tcBorders>
              <w:bottom w:val="single" w:color="auto" w:sz="4" w:space="0"/>
            </w:tcBorders>
            <w:vAlign w:val="center"/>
          </w:tcPr>
          <w:p>
            <w:pPr>
              <w:spacing w:line="460" w:lineRule="exact"/>
              <w:jc w:val="center"/>
              <w:rPr>
                <w:rFonts w:ascii="宋体" w:hAnsi="宋体" w:cs="宋体"/>
                <w:color w:val="auto"/>
                <w:sz w:val="24"/>
              </w:rPr>
            </w:pPr>
          </w:p>
        </w:tc>
        <w:tc>
          <w:tcPr>
            <w:tcW w:w="778" w:type="dxa"/>
            <w:tcBorders>
              <w:bottom w:val="single" w:color="auto" w:sz="4" w:space="0"/>
            </w:tcBorders>
            <w:vAlign w:val="center"/>
          </w:tcPr>
          <w:p>
            <w:pPr>
              <w:spacing w:line="460" w:lineRule="exact"/>
              <w:jc w:val="center"/>
              <w:rPr>
                <w:rFonts w:ascii="宋体" w:hAnsi="宋体" w:cs="宋体"/>
                <w:color w:val="auto"/>
                <w:sz w:val="24"/>
              </w:rPr>
            </w:pPr>
          </w:p>
        </w:tc>
        <w:tc>
          <w:tcPr>
            <w:tcW w:w="1116"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c>
          <w:tcPr>
            <w:tcW w:w="900" w:type="dxa"/>
            <w:tcBorders>
              <w:bottom w:val="single" w:color="auto" w:sz="4" w:space="0"/>
            </w:tcBorders>
            <w:vAlign w:val="center"/>
          </w:tcPr>
          <w:p>
            <w:pPr>
              <w:spacing w:line="460" w:lineRule="exact"/>
              <w:jc w:val="center"/>
              <w:rPr>
                <w:rFonts w:ascii="宋体" w:hAnsi="宋体" w:cs="宋体"/>
                <w:color w:val="auto"/>
                <w:sz w:val="24"/>
              </w:rPr>
            </w:pPr>
          </w:p>
        </w:tc>
      </w:tr>
    </w:tbl>
    <w:p>
      <w:pPr>
        <w:spacing w:line="460" w:lineRule="exact"/>
        <w:ind w:left="180"/>
        <w:rPr>
          <w:rFonts w:ascii="宋体" w:hAnsi="宋体" w:cs="宋体"/>
          <w:color w:val="auto"/>
        </w:rPr>
      </w:pPr>
    </w:p>
    <w:p>
      <w:pPr>
        <w:pStyle w:val="2"/>
        <w:rPr>
          <w:color w:val="auto"/>
        </w:rPr>
      </w:pPr>
    </w:p>
    <w:p>
      <w:pPr>
        <w:spacing w:line="460" w:lineRule="exact"/>
        <w:ind w:left="192" w:firstLine="3751" w:firstLineChars="1645"/>
        <w:rPr>
          <w:rFonts w:ascii="宋体" w:hAnsi="宋体" w:cs="宋体"/>
          <w:color w:val="auto"/>
          <w:sz w:val="24"/>
        </w:rPr>
      </w:pPr>
      <w:r>
        <w:rPr>
          <w:rFonts w:hint="eastAsia" w:ascii="宋体" w:hAnsi="宋体" w:cs="宋体"/>
          <w:color w:val="auto"/>
          <w:sz w:val="24"/>
          <w:lang w:eastAsia="zh-CN"/>
        </w:rPr>
        <w:t>供应商</w:t>
      </w:r>
      <w:r>
        <w:rPr>
          <w:rFonts w:hint="eastAsia" w:ascii="宋体" w:hAnsi="宋体" w:cs="宋体"/>
          <w:color w:val="auto"/>
          <w:sz w:val="24"/>
        </w:rPr>
        <w:t>代表签字：_______________</w:t>
      </w:r>
    </w:p>
    <w:p>
      <w:pPr>
        <w:spacing w:line="460" w:lineRule="exact"/>
        <w:ind w:left="192" w:firstLine="3751" w:firstLineChars="1645"/>
        <w:rPr>
          <w:rFonts w:ascii="宋体" w:hAnsi="宋体" w:cs="宋体"/>
          <w:color w:val="auto"/>
          <w:sz w:val="24"/>
        </w:rPr>
      </w:pPr>
      <w:r>
        <w:rPr>
          <w:rFonts w:hint="eastAsia" w:ascii="宋体" w:hAnsi="宋体" w:cs="宋体"/>
          <w:color w:val="auto"/>
          <w:sz w:val="24"/>
        </w:rPr>
        <w:t>职务：_________日期：__________</w:t>
      </w:r>
    </w:p>
    <w:p>
      <w:pPr>
        <w:spacing w:line="460" w:lineRule="exact"/>
        <w:ind w:left="192" w:firstLine="3751" w:firstLineChars="1645"/>
        <w:rPr>
          <w:rFonts w:ascii="宋体" w:hAnsi="宋体" w:cs="宋体"/>
          <w:color w:val="auto"/>
          <w:sz w:val="24"/>
        </w:rPr>
      </w:pPr>
      <w:r>
        <w:rPr>
          <w:rFonts w:hint="eastAsia" w:ascii="宋体" w:hAnsi="宋体" w:cs="宋体"/>
          <w:color w:val="auto"/>
          <w:sz w:val="24"/>
          <w:lang w:eastAsia="zh-CN"/>
        </w:rPr>
        <w:t>供应商</w:t>
      </w:r>
      <w:r>
        <w:rPr>
          <w:rFonts w:hint="eastAsia" w:ascii="宋体" w:hAnsi="宋体" w:cs="宋体"/>
          <w:color w:val="auto"/>
          <w:sz w:val="24"/>
        </w:rPr>
        <w:t>名称（公章）：_____________</w:t>
      </w:r>
    </w:p>
    <w:p>
      <w:pPr>
        <w:pStyle w:val="2"/>
        <w:rPr>
          <w:color w:val="auto"/>
        </w:rPr>
      </w:pPr>
      <w:r>
        <w:rPr>
          <w:rFonts w:hint="eastAsia" w:ascii="宋体" w:hAnsi="宋体" w:eastAsia="宋体" w:cs="宋体"/>
          <w:b/>
          <w:color w:val="auto"/>
          <w:sz w:val="24"/>
        </w:rPr>
        <w:br w:type="page"/>
      </w:r>
    </w:p>
    <w:p>
      <w:pPr>
        <w:rPr>
          <w:rFonts w:ascii="宋体" w:hAnsi="宋体" w:cs="宋体"/>
          <w:b/>
          <w:color w:val="auto"/>
          <w:sz w:val="24"/>
          <w:szCs w:val="24"/>
        </w:rPr>
      </w:pPr>
      <w:r>
        <w:rPr>
          <w:rFonts w:hint="eastAsia" w:ascii="宋体" w:hAnsi="宋体" w:cs="宋体"/>
          <w:b/>
          <w:color w:val="auto"/>
          <w:sz w:val="24"/>
          <w:szCs w:val="24"/>
        </w:rPr>
        <w:t>附件6</w:t>
      </w:r>
    </w:p>
    <w:p>
      <w:pPr>
        <w:tabs>
          <w:tab w:val="left" w:pos="3780"/>
          <w:tab w:val="left" w:pos="3960"/>
        </w:tabs>
        <w:spacing w:line="460" w:lineRule="exact"/>
        <w:jc w:val="center"/>
        <w:rPr>
          <w:rFonts w:ascii="宋体" w:hAnsi="宋体" w:cs="宋体"/>
          <w:b/>
          <w:color w:val="auto"/>
          <w:sz w:val="24"/>
        </w:rPr>
      </w:pPr>
      <w:r>
        <w:rPr>
          <w:rFonts w:hint="eastAsia" w:ascii="宋体" w:hAnsi="宋体" w:cs="宋体"/>
          <w:b/>
          <w:color w:val="auto"/>
          <w:sz w:val="24"/>
        </w:rPr>
        <w:t>报价分项一览表</w:t>
      </w:r>
    </w:p>
    <w:p>
      <w:pPr>
        <w:spacing w:line="460" w:lineRule="exact"/>
        <w:rPr>
          <w:rFonts w:ascii="宋体" w:hAnsi="宋体" w:cs="宋体"/>
          <w:b/>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r>
        <w:rPr>
          <w:rFonts w:hint="eastAsia" w:ascii="宋体" w:hAnsi="宋体" w:cs="宋体"/>
          <w:color w:val="auto"/>
          <w:sz w:val="24"/>
        </w:rPr>
        <w:t xml:space="preserve">      </w:t>
      </w:r>
      <w:r>
        <w:rPr>
          <w:rFonts w:hint="eastAsia" w:ascii="宋体" w:hAnsi="宋体" w:cs="宋体"/>
          <w:b/>
          <w:color w:val="auto"/>
          <w:sz w:val="24"/>
        </w:rPr>
        <w:t xml:space="preserve">            </w:t>
      </w:r>
    </w:p>
    <w:p>
      <w:pPr>
        <w:spacing w:line="460" w:lineRule="exact"/>
        <w:rPr>
          <w:rFonts w:ascii="宋体" w:hAnsi="宋体" w:cs="宋体"/>
          <w:b/>
          <w:color w:val="auto"/>
          <w:sz w:val="24"/>
        </w:rPr>
      </w:pPr>
      <w:r>
        <w:rPr>
          <w:rFonts w:hint="eastAsia" w:ascii="宋体" w:hAnsi="宋体" w:cs="宋体"/>
          <w:color w:val="auto"/>
          <w:sz w:val="24"/>
        </w:rPr>
        <w:t>项目编号：</w:t>
      </w:r>
      <w:r>
        <w:rPr>
          <w:rFonts w:hint="eastAsia" w:ascii="宋体" w:hAnsi="宋体" w:cs="宋体"/>
          <w:color w:val="auto"/>
          <w:sz w:val="24"/>
          <w:u w:val="single"/>
        </w:rPr>
        <w:t xml:space="preserve">                    </w:t>
      </w:r>
      <w:r>
        <w:rPr>
          <w:rFonts w:hint="eastAsia" w:ascii="宋体" w:hAnsi="宋体" w:cs="宋体"/>
          <w:color w:val="auto"/>
          <w:sz w:val="24"/>
        </w:rPr>
        <w:t xml:space="preserve">      </w:t>
      </w:r>
      <w:r>
        <w:rPr>
          <w:rFonts w:hint="eastAsia" w:ascii="宋体" w:hAnsi="宋体" w:cs="宋体"/>
          <w:b/>
          <w:color w:val="auto"/>
          <w:sz w:val="24"/>
        </w:rPr>
        <w:t xml:space="preserve">            </w:t>
      </w:r>
    </w:p>
    <w:p>
      <w:pPr>
        <w:spacing w:line="460" w:lineRule="exact"/>
        <w:rPr>
          <w:rFonts w:ascii="宋体" w:hAnsi="宋体" w:cs="宋体"/>
          <w:b/>
          <w:color w:val="auto"/>
          <w:sz w:val="24"/>
        </w:rPr>
      </w:pPr>
      <w:r>
        <w:rPr>
          <w:rFonts w:hint="eastAsia" w:ascii="宋体" w:hAnsi="宋体" w:cs="宋体"/>
          <w:color w:val="auto"/>
          <w:sz w:val="24"/>
        </w:rPr>
        <w:t xml:space="preserve">                                                              单位：元</w:t>
      </w:r>
    </w:p>
    <w:tbl>
      <w:tblPr>
        <w:tblStyle w:val="30"/>
        <w:tblW w:w="9926" w:type="dxa"/>
        <w:jc w:val="center"/>
        <w:tblLayout w:type="fixed"/>
        <w:tblCellMar>
          <w:top w:w="0" w:type="dxa"/>
          <w:left w:w="108" w:type="dxa"/>
          <w:bottom w:w="0" w:type="dxa"/>
          <w:right w:w="108" w:type="dxa"/>
        </w:tblCellMar>
      </w:tblPr>
      <w:tblGrid>
        <w:gridCol w:w="727"/>
        <w:gridCol w:w="1226"/>
        <w:gridCol w:w="783"/>
        <w:gridCol w:w="1254"/>
        <w:gridCol w:w="1052"/>
        <w:gridCol w:w="782"/>
        <w:gridCol w:w="819"/>
        <w:gridCol w:w="782"/>
        <w:gridCol w:w="824"/>
        <w:gridCol w:w="810"/>
        <w:gridCol w:w="867"/>
      </w:tblGrid>
      <w:tr>
        <w:tblPrEx>
          <w:tblCellMar>
            <w:top w:w="0" w:type="dxa"/>
            <w:left w:w="108" w:type="dxa"/>
            <w:bottom w:w="0" w:type="dxa"/>
            <w:right w:w="108" w:type="dxa"/>
          </w:tblCellMar>
        </w:tblPrEx>
        <w:trPr>
          <w:trHeight w:val="555" w:hRule="atLeast"/>
          <w:jc w:val="center"/>
        </w:trPr>
        <w:tc>
          <w:tcPr>
            <w:tcW w:w="727"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cs="宋体"/>
                <w:bCs/>
                <w:color w:val="auto"/>
                <w:sz w:val="24"/>
                <w:szCs w:val="24"/>
              </w:rPr>
            </w:pPr>
            <w:r>
              <w:rPr>
                <w:rFonts w:hint="eastAsia" w:ascii="宋体" w:hAnsi="宋体" w:cs="宋体"/>
                <w:bCs/>
                <w:color w:val="auto"/>
                <w:sz w:val="24"/>
                <w:szCs w:val="24"/>
              </w:rPr>
              <w:t>序号</w:t>
            </w:r>
          </w:p>
        </w:tc>
        <w:tc>
          <w:tcPr>
            <w:tcW w:w="1226" w:type="dxa"/>
            <w:tcBorders>
              <w:top w:val="single" w:color="auto" w:sz="8" w:space="0"/>
              <w:left w:val="nil"/>
              <w:bottom w:val="single" w:color="auto" w:sz="4" w:space="0"/>
              <w:right w:val="single" w:color="auto" w:sz="4" w:space="0"/>
            </w:tcBorders>
            <w:vAlign w:val="center"/>
          </w:tcPr>
          <w:p>
            <w:pPr>
              <w:jc w:val="center"/>
              <w:rPr>
                <w:rFonts w:ascii="宋体" w:hAnsi="宋体" w:cs="宋体"/>
                <w:bCs/>
                <w:color w:val="auto"/>
                <w:sz w:val="24"/>
                <w:szCs w:val="24"/>
              </w:rPr>
            </w:pPr>
            <w:r>
              <w:rPr>
                <w:rFonts w:hint="eastAsia" w:ascii="宋体" w:hAnsi="宋体" w:cs="宋体"/>
                <w:bCs/>
                <w:color w:val="auto"/>
                <w:sz w:val="24"/>
                <w:szCs w:val="24"/>
              </w:rPr>
              <w:t>货物名称</w:t>
            </w:r>
          </w:p>
        </w:tc>
        <w:tc>
          <w:tcPr>
            <w:tcW w:w="783" w:type="dxa"/>
            <w:tcBorders>
              <w:top w:val="single" w:color="auto" w:sz="8" w:space="0"/>
              <w:left w:val="nil"/>
              <w:bottom w:val="single" w:color="auto" w:sz="4" w:space="0"/>
              <w:right w:val="single" w:color="auto" w:sz="4" w:space="0"/>
            </w:tcBorders>
            <w:vAlign w:val="center"/>
          </w:tcPr>
          <w:p>
            <w:pPr>
              <w:jc w:val="center"/>
              <w:rPr>
                <w:rFonts w:ascii="宋体" w:hAnsi="宋体" w:cs="宋体"/>
                <w:bCs/>
                <w:color w:val="auto"/>
                <w:sz w:val="24"/>
                <w:szCs w:val="24"/>
              </w:rPr>
            </w:pPr>
            <w:r>
              <w:rPr>
                <w:rFonts w:hint="eastAsia" w:ascii="宋体" w:hAnsi="宋体" w:cs="宋体"/>
                <w:bCs/>
                <w:color w:val="auto"/>
                <w:sz w:val="24"/>
                <w:szCs w:val="24"/>
              </w:rPr>
              <w:t>品牌</w:t>
            </w:r>
          </w:p>
        </w:tc>
        <w:tc>
          <w:tcPr>
            <w:tcW w:w="1254" w:type="dxa"/>
            <w:tcBorders>
              <w:top w:val="single" w:color="auto" w:sz="8" w:space="0"/>
              <w:left w:val="nil"/>
              <w:bottom w:val="single" w:color="auto" w:sz="4" w:space="0"/>
              <w:right w:val="single" w:color="auto" w:sz="4" w:space="0"/>
            </w:tcBorders>
            <w:vAlign w:val="center"/>
          </w:tcPr>
          <w:p>
            <w:pPr>
              <w:jc w:val="center"/>
              <w:rPr>
                <w:rFonts w:ascii="宋体" w:hAnsi="宋体" w:cs="宋体"/>
                <w:bCs/>
                <w:color w:val="auto"/>
                <w:sz w:val="24"/>
                <w:szCs w:val="24"/>
              </w:rPr>
            </w:pPr>
            <w:r>
              <w:rPr>
                <w:rFonts w:hint="eastAsia" w:ascii="宋体" w:hAnsi="宋体" w:cs="宋体"/>
                <w:bCs/>
                <w:color w:val="auto"/>
                <w:sz w:val="24"/>
                <w:szCs w:val="24"/>
              </w:rPr>
              <w:t>规格型号</w:t>
            </w:r>
          </w:p>
        </w:tc>
        <w:tc>
          <w:tcPr>
            <w:tcW w:w="1052" w:type="dxa"/>
            <w:tcBorders>
              <w:top w:val="single" w:color="auto" w:sz="8" w:space="0"/>
              <w:left w:val="nil"/>
              <w:bottom w:val="single" w:color="auto" w:sz="4" w:space="0"/>
              <w:right w:val="single" w:color="auto" w:sz="4" w:space="0"/>
            </w:tcBorders>
            <w:vAlign w:val="center"/>
          </w:tcPr>
          <w:p>
            <w:pPr>
              <w:jc w:val="center"/>
              <w:rPr>
                <w:rFonts w:ascii="宋体" w:hAnsi="宋体" w:cs="宋体"/>
                <w:bCs/>
                <w:color w:val="auto"/>
                <w:sz w:val="24"/>
                <w:szCs w:val="24"/>
              </w:rPr>
            </w:pPr>
            <w:r>
              <w:rPr>
                <w:rFonts w:hint="eastAsia" w:ascii="宋体" w:hAnsi="宋体" w:cs="宋体"/>
                <w:bCs/>
                <w:color w:val="auto"/>
                <w:sz w:val="24"/>
                <w:szCs w:val="24"/>
              </w:rPr>
              <w:t>制造商</w:t>
            </w:r>
          </w:p>
        </w:tc>
        <w:tc>
          <w:tcPr>
            <w:tcW w:w="782" w:type="dxa"/>
            <w:tcBorders>
              <w:top w:val="single" w:color="auto" w:sz="8" w:space="0"/>
              <w:left w:val="nil"/>
              <w:bottom w:val="single" w:color="auto" w:sz="4" w:space="0"/>
              <w:right w:val="single" w:color="auto" w:sz="4" w:space="0"/>
            </w:tcBorders>
            <w:vAlign w:val="center"/>
          </w:tcPr>
          <w:p>
            <w:pPr>
              <w:jc w:val="center"/>
              <w:rPr>
                <w:rFonts w:ascii="宋体" w:hAnsi="宋体" w:cs="宋体"/>
                <w:bCs/>
                <w:color w:val="auto"/>
                <w:sz w:val="24"/>
                <w:szCs w:val="24"/>
              </w:rPr>
            </w:pPr>
            <w:r>
              <w:rPr>
                <w:rFonts w:hint="eastAsia" w:ascii="宋体" w:hAnsi="宋体" w:cs="宋体"/>
                <w:bCs/>
                <w:color w:val="auto"/>
                <w:sz w:val="24"/>
                <w:szCs w:val="24"/>
              </w:rPr>
              <w:t>产地</w:t>
            </w:r>
          </w:p>
        </w:tc>
        <w:tc>
          <w:tcPr>
            <w:tcW w:w="819" w:type="dxa"/>
            <w:tcBorders>
              <w:top w:val="single" w:color="auto" w:sz="8" w:space="0"/>
              <w:left w:val="nil"/>
              <w:bottom w:val="single" w:color="auto" w:sz="4" w:space="0"/>
              <w:right w:val="single" w:color="auto" w:sz="4" w:space="0"/>
            </w:tcBorders>
            <w:vAlign w:val="center"/>
          </w:tcPr>
          <w:p>
            <w:pPr>
              <w:jc w:val="center"/>
              <w:rPr>
                <w:rFonts w:ascii="宋体" w:hAnsi="宋体" w:cs="宋体"/>
                <w:bCs/>
                <w:color w:val="auto"/>
                <w:sz w:val="24"/>
                <w:szCs w:val="24"/>
              </w:rPr>
            </w:pPr>
            <w:r>
              <w:rPr>
                <w:rFonts w:hint="eastAsia" w:ascii="宋体" w:hAnsi="宋体" w:cs="宋体"/>
                <w:bCs/>
                <w:color w:val="auto"/>
                <w:sz w:val="24"/>
                <w:szCs w:val="24"/>
              </w:rPr>
              <w:t>商品属性</w:t>
            </w:r>
          </w:p>
        </w:tc>
        <w:tc>
          <w:tcPr>
            <w:tcW w:w="782" w:type="dxa"/>
            <w:tcBorders>
              <w:top w:val="single" w:color="auto" w:sz="8" w:space="0"/>
              <w:left w:val="nil"/>
              <w:bottom w:val="single" w:color="auto" w:sz="4" w:space="0"/>
              <w:right w:val="single" w:color="auto" w:sz="4" w:space="0"/>
            </w:tcBorders>
            <w:vAlign w:val="center"/>
          </w:tcPr>
          <w:p>
            <w:pPr>
              <w:jc w:val="center"/>
              <w:rPr>
                <w:rFonts w:ascii="宋体" w:hAnsi="宋体" w:cs="宋体"/>
                <w:bCs/>
                <w:color w:val="auto"/>
                <w:sz w:val="24"/>
                <w:szCs w:val="24"/>
              </w:rPr>
            </w:pPr>
            <w:r>
              <w:rPr>
                <w:rFonts w:hint="eastAsia" w:ascii="宋体" w:hAnsi="宋体" w:cs="宋体"/>
                <w:bCs/>
                <w:color w:val="auto"/>
                <w:sz w:val="24"/>
                <w:szCs w:val="24"/>
              </w:rPr>
              <w:t>单价</w:t>
            </w:r>
          </w:p>
        </w:tc>
        <w:tc>
          <w:tcPr>
            <w:tcW w:w="824" w:type="dxa"/>
            <w:tcBorders>
              <w:top w:val="single" w:color="auto" w:sz="8" w:space="0"/>
              <w:left w:val="nil"/>
              <w:bottom w:val="single" w:color="auto" w:sz="4" w:space="0"/>
              <w:right w:val="single" w:color="auto" w:sz="4" w:space="0"/>
            </w:tcBorders>
            <w:vAlign w:val="center"/>
          </w:tcPr>
          <w:p>
            <w:pPr>
              <w:jc w:val="center"/>
              <w:rPr>
                <w:rFonts w:ascii="宋体" w:hAnsi="宋体" w:cs="宋体"/>
                <w:bCs/>
                <w:color w:val="auto"/>
                <w:sz w:val="24"/>
                <w:szCs w:val="24"/>
              </w:rPr>
            </w:pPr>
            <w:r>
              <w:rPr>
                <w:rFonts w:hint="eastAsia" w:ascii="宋体" w:hAnsi="宋体" w:cs="宋体"/>
                <w:bCs/>
                <w:color w:val="auto"/>
                <w:sz w:val="24"/>
                <w:szCs w:val="24"/>
              </w:rPr>
              <w:t>采购数量</w:t>
            </w:r>
          </w:p>
        </w:tc>
        <w:tc>
          <w:tcPr>
            <w:tcW w:w="810" w:type="dxa"/>
            <w:tcBorders>
              <w:top w:val="single" w:color="auto" w:sz="8" w:space="0"/>
              <w:left w:val="nil"/>
              <w:bottom w:val="single" w:color="auto" w:sz="4" w:space="0"/>
              <w:right w:val="single" w:color="auto" w:sz="4" w:space="0"/>
            </w:tcBorders>
            <w:vAlign w:val="center"/>
          </w:tcPr>
          <w:p>
            <w:pPr>
              <w:jc w:val="center"/>
              <w:rPr>
                <w:rFonts w:ascii="宋体" w:hAnsi="宋体" w:cs="宋体"/>
                <w:bCs/>
                <w:color w:val="auto"/>
                <w:sz w:val="24"/>
                <w:szCs w:val="24"/>
              </w:rPr>
            </w:pPr>
            <w:r>
              <w:rPr>
                <w:rFonts w:hint="eastAsia" w:ascii="宋体" w:hAnsi="宋体" w:cs="宋体"/>
                <w:bCs/>
                <w:color w:val="auto"/>
                <w:sz w:val="24"/>
                <w:szCs w:val="24"/>
              </w:rPr>
              <w:t>计量单位</w:t>
            </w:r>
          </w:p>
        </w:tc>
        <w:tc>
          <w:tcPr>
            <w:tcW w:w="867" w:type="dxa"/>
            <w:tcBorders>
              <w:top w:val="single" w:color="auto" w:sz="8" w:space="0"/>
              <w:left w:val="nil"/>
              <w:bottom w:val="single" w:color="auto" w:sz="4" w:space="0"/>
              <w:right w:val="single" w:color="auto" w:sz="8" w:space="0"/>
            </w:tcBorders>
            <w:vAlign w:val="center"/>
          </w:tcPr>
          <w:p>
            <w:pPr>
              <w:jc w:val="center"/>
              <w:rPr>
                <w:rFonts w:ascii="宋体" w:hAnsi="宋体" w:cs="宋体"/>
                <w:bCs/>
                <w:color w:val="auto"/>
                <w:sz w:val="24"/>
                <w:szCs w:val="24"/>
              </w:rPr>
            </w:pPr>
            <w:r>
              <w:rPr>
                <w:rFonts w:hint="eastAsia" w:ascii="宋体" w:hAnsi="宋体" w:cs="宋体"/>
                <w:bCs/>
                <w:color w:val="auto"/>
                <w:sz w:val="24"/>
                <w:szCs w:val="24"/>
              </w:rPr>
              <w:t>总价</w:t>
            </w:r>
          </w:p>
        </w:tc>
      </w:tr>
      <w:tr>
        <w:tblPrEx>
          <w:tblCellMar>
            <w:top w:w="0" w:type="dxa"/>
            <w:left w:w="108" w:type="dxa"/>
            <w:bottom w:w="0" w:type="dxa"/>
            <w:right w:w="108" w:type="dxa"/>
          </w:tblCellMar>
        </w:tblPrEx>
        <w:trPr>
          <w:trHeight w:val="465" w:hRule="atLeast"/>
          <w:jc w:val="center"/>
        </w:trPr>
        <w:tc>
          <w:tcPr>
            <w:tcW w:w="727" w:type="dxa"/>
            <w:tcBorders>
              <w:top w:val="nil"/>
              <w:left w:val="single" w:color="auto" w:sz="8" w:space="0"/>
              <w:bottom w:val="single" w:color="auto" w:sz="4" w:space="0"/>
              <w:right w:val="single" w:color="auto" w:sz="4" w:space="0"/>
            </w:tcBorders>
            <w:vAlign w:val="center"/>
          </w:tcPr>
          <w:p>
            <w:pPr>
              <w:jc w:val="center"/>
              <w:rPr>
                <w:rFonts w:ascii="宋体" w:hAnsi="宋体" w:cs="宋体"/>
                <w:color w:val="auto"/>
                <w:sz w:val="24"/>
                <w:szCs w:val="24"/>
              </w:rPr>
            </w:pPr>
          </w:p>
        </w:tc>
        <w:tc>
          <w:tcPr>
            <w:tcW w:w="1226"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783"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1254"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1052"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782"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819" w:type="dxa"/>
            <w:tcBorders>
              <w:top w:val="nil"/>
              <w:left w:val="nil"/>
              <w:bottom w:val="single" w:color="auto" w:sz="4" w:space="0"/>
              <w:right w:val="single" w:color="auto" w:sz="4" w:space="0"/>
            </w:tcBorders>
            <w:vAlign w:val="center"/>
          </w:tcPr>
          <w:p>
            <w:pPr>
              <w:jc w:val="center"/>
              <w:rPr>
                <w:rFonts w:ascii="宋体" w:hAnsi="宋体" w:cs="宋体"/>
                <w:color w:val="auto"/>
                <w:sz w:val="18"/>
                <w:szCs w:val="18"/>
              </w:rPr>
            </w:pPr>
          </w:p>
        </w:tc>
        <w:tc>
          <w:tcPr>
            <w:tcW w:w="782" w:type="dxa"/>
            <w:tcBorders>
              <w:top w:val="nil"/>
              <w:left w:val="nil"/>
              <w:bottom w:val="single" w:color="auto" w:sz="4" w:space="0"/>
              <w:right w:val="single" w:color="auto" w:sz="4" w:space="0"/>
            </w:tcBorders>
            <w:vAlign w:val="center"/>
          </w:tcPr>
          <w:p>
            <w:pPr>
              <w:jc w:val="center"/>
              <w:rPr>
                <w:rFonts w:ascii="宋体" w:hAnsi="宋体" w:cs="宋体"/>
                <w:color w:val="auto"/>
                <w:sz w:val="18"/>
                <w:szCs w:val="18"/>
              </w:rPr>
            </w:pPr>
          </w:p>
        </w:tc>
        <w:tc>
          <w:tcPr>
            <w:tcW w:w="824"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810" w:type="dxa"/>
            <w:tcBorders>
              <w:top w:val="nil"/>
              <w:left w:val="nil"/>
              <w:bottom w:val="single" w:color="auto" w:sz="4" w:space="0"/>
              <w:right w:val="single" w:color="auto" w:sz="4" w:space="0"/>
            </w:tcBorders>
            <w:vAlign w:val="center"/>
          </w:tcPr>
          <w:p>
            <w:pPr>
              <w:jc w:val="center"/>
              <w:rPr>
                <w:rFonts w:ascii="宋体" w:hAnsi="宋体" w:cs="宋体"/>
                <w:color w:val="auto"/>
                <w:sz w:val="18"/>
                <w:szCs w:val="18"/>
              </w:rPr>
            </w:pPr>
          </w:p>
        </w:tc>
        <w:tc>
          <w:tcPr>
            <w:tcW w:w="867" w:type="dxa"/>
            <w:tcBorders>
              <w:top w:val="nil"/>
              <w:left w:val="nil"/>
              <w:bottom w:val="single" w:color="auto" w:sz="4" w:space="0"/>
              <w:right w:val="single" w:color="auto" w:sz="8" w:space="0"/>
            </w:tcBorders>
            <w:vAlign w:val="center"/>
          </w:tcPr>
          <w:p>
            <w:pPr>
              <w:jc w:val="center"/>
              <w:rPr>
                <w:rFonts w:ascii="宋体" w:hAnsi="宋体" w:cs="宋体"/>
                <w:color w:val="auto"/>
                <w:sz w:val="24"/>
                <w:szCs w:val="24"/>
              </w:rPr>
            </w:pPr>
          </w:p>
        </w:tc>
      </w:tr>
      <w:tr>
        <w:tblPrEx>
          <w:tblCellMar>
            <w:top w:w="0" w:type="dxa"/>
            <w:left w:w="108" w:type="dxa"/>
            <w:bottom w:w="0" w:type="dxa"/>
            <w:right w:w="108" w:type="dxa"/>
          </w:tblCellMar>
        </w:tblPrEx>
        <w:trPr>
          <w:trHeight w:val="465" w:hRule="atLeast"/>
          <w:jc w:val="center"/>
        </w:trPr>
        <w:tc>
          <w:tcPr>
            <w:tcW w:w="727" w:type="dxa"/>
            <w:tcBorders>
              <w:top w:val="nil"/>
              <w:left w:val="single" w:color="auto" w:sz="8" w:space="0"/>
              <w:bottom w:val="single" w:color="auto" w:sz="4" w:space="0"/>
              <w:right w:val="single" w:color="auto" w:sz="4" w:space="0"/>
            </w:tcBorders>
            <w:vAlign w:val="center"/>
          </w:tcPr>
          <w:p>
            <w:pPr>
              <w:jc w:val="center"/>
              <w:rPr>
                <w:rFonts w:ascii="宋体" w:hAnsi="宋体" w:cs="宋体"/>
                <w:color w:val="auto"/>
                <w:sz w:val="24"/>
                <w:szCs w:val="24"/>
              </w:rPr>
            </w:pPr>
          </w:p>
        </w:tc>
        <w:tc>
          <w:tcPr>
            <w:tcW w:w="1226"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783"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1254"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1052"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782"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819" w:type="dxa"/>
            <w:tcBorders>
              <w:top w:val="nil"/>
              <w:left w:val="nil"/>
              <w:bottom w:val="single" w:color="auto" w:sz="4" w:space="0"/>
              <w:right w:val="single" w:color="auto" w:sz="4" w:space="0"/>
            </w:tcBorders>
            <w:vAlign w:val="center"/>
          </w:tcPr>
          <w:p>
            <w:pPr>
              <w:jc w:val="center"/>
              <w:rPr>
                <w:rFonts w:ascii="宋体" w:hAnsi="宋体" w:cs="宋体"/>
                <w:color w:val="auto"/>
                <w:sz w:val="18"/>
                <w:szCs w:val="18"/>
              </w:rPr>
            </w:pPr>
          </w:p>
        </w:tc>
        <w:tc>
          <w:tcPr>
            <w:tcW w:w="782" w:type="dxa"/>
            <w:tcBorders>
              <w:top w:val="nil"/>
              <w:left w:val="nil"/>
              <w:bottom w:val="single" w:color="auto" w:sz="4" w:space="0"/>
              <w:right w:val="single" w:color="auto" w:sz="4" w:space="0"/>
            </w:tcBorders>
            <w:vAlign w:val="center"/>
          </w:tcPr>
          <w:p>
            <w:pPr>
              <w:jc w:val="center"/>
              <w:rPr>
                <w:rFonts w:ascii="宋体" w:hAnsi="宋体" w:cs="宋体"/>
                <w:color w:val="auto"/>
                <w:sz w:val="18"/>
                <w:szCs w:val="18"/>
              </w:rPr>
            </w:pPr>
          </w:p>
        </w:tc>
        <w:tc>
          <w:tcPr>
            <w:tcW w:w="824"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810"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867" w:type="dxa"/>
            <w:tcBorders>
              <w:top w:val="nil"/>
              <w:left w:val="nil"/>
              <w:bottom w:val="single" w:color="auto" w:sz="4" w:space="0"/>
              <w:right w:val="single" w:color="auto" w:sz="8" w:space="0"/>
            </w:tcBorders>
            <w:vAlign w:val="center"/>
          </w:tcPr>
          <w:p>
            <w:pPr>
              <w:jc w:val="center"/>
              <w:rPr>
                <w:rFonts w:ascii="宋体" w:hAnsi="宋体" w:cs="宋体"/>
                <w:color w:val="auto"/>
                <w:sz w:val="24"/>
                <w:szCs w:val="24"/>
              </w:rPr>
            </w:pPr>
          </w:p>
        </w:tc>
      </w:tr>
      <w:tr>
        <w:tblPrEx>
          <w:tblCellMar>
            <w:top w:w="0" w:type="dxa"/>
            <w:left w:w="108" w:type="dxa"/>
            <w:bottom w:w="0" w:type="dxa"/>
            <w:right w:w="108" w:type="dxa"/>
          </w:tblCellMar>
        </w:tblPrEx>
        <w:trPr>
          <w:trHeight w:val="465" w:hRule="atLeast"/>
          <w:jc w:val="center"/>
        </w:trPr>
        <w:tc>
          <w:tcPr>
            <w:tcW w:w="727" w:type="dxa"/>
            <w:tcBorders>
              <w:top w:val="nil"/>
              <w:left w:val="single" w:color="auto" w:sz="8" w:space="0"/>
              <w:bottom w:val="single" w:color="auto" w:sz="4" w:space="0"/>
              <w:right w:val="single" w:color="auto" w:sz="4" w:space="0"/>
            </w:tcBorders>
            <w:vAlign w:val="center"/>
          </w:tcPr>
          <w:p>
            <w:pPr>
              <w:jc w:val="center"/>
              <w:rPr>
                <w:rFonts w:ascii="宋体" w:hAnsi="宋体" w:cs="宋体"/>
                <w:color w:val="auto"/>
                <w:sz w:val="24"/>
                <w:szCs w:val="24"/>
              </w:rPr>
            </w:pPr>
          </w:p>
        </w:tc>
        <w:tc>
          <w:tcPr>
            <w:tcW w:w="1226"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783"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1254"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1052"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782"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819" w:type="dxa"/>
            <w:tcBorders>
              <w:top w:val="nil"/>
              <w:left w:val="nil"/>
              <w:bottom w:val="single" w:color="auto" w:sz="4" w:space="0"/>
              <w:right w:val="single" w:color="auto" w:sz="4" w:space="0"/>
            </w:tcBorders>
            <w:vAlign w:val="center"/>
          </w:tcPr>
          <w:p>
            <w:pPr>
              <w:jc w:val="center"/>
              <w:rPr>
                <w:rFonts w:ascii="宋体" w:hAnsi="宋体" w:cs="宋体"/>
                <w:color w:val="auto"/>
                <w:sz w:val="18"/>
                <w:szCs w:val="18"/>
              </w:rPr>
            </w:pPr>
          </w:p>
        </w:tc>
        <w:tc>
          <w:tcPr>
            <w:tcW w:w="782" w:type="dxa"/>
            <w:tcBorders>
              <w:top w:val="nil"/>
              <w:left w:val="nil"/>
              <w:bottom w:val="single" w:color="auto" w:sz="4" w:space="0"/>
              <w:right w:val="single" w:color="auto" w:sz="4" w:space="0"/>
            </w:tcBorders>
            <w:vAlign w:val="center"/>
          </w:tcPr>
          <w:p>
            <w:pPr>
              <w:jc w:val="center"/>
              <w:rPr>
                <w:rFonts w:ascii="宋体" w:hAnsi="宋体" w:cs="宋体"/>
                <w:color w:val="auto"/>
                <w:sz w:val="18"/>
                <w:szCs w:val="18"/>
              </w:rPr>
            </w:pPr>
          </w:p>
        </w:tc>
        <w:tc>
          <w:tcPr>
            <w:tcW w:w="824"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810"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867" w:type="dxa"/>
            <w:tcBorders>
              <w:top w:val="nil"/>
              <w:left w:val="nil"/>
              <w:bottom w:val="single" w:color="auto" w:sz="4" w:space="0"/>
              <w:right w:val="single" w:color="auto" w:sz="8" w:space="0"/>
            </w:tcBorders>
            <w:vAlign w:val="center"/>
          </w:tcPr>
          <w:p>
            <w:pPr>
              <w:jc w:val="center"/>
              <w:rPr>
                <w:rFonts w:ascii="宋体" w:hAnsi="宋体" w:cs="宋体"/>
                <w:color w:val="auto"/>
                <w:sz w:val="24"/>
                <w:szCs w:val="24"/>
              </w:rPr>
            </w:pPr>
          </w:p>
        </w:tc>
      </w:tr>
      <w:tr>
        <w:tblPrEx>
          <w:tblCellMar>
            <w:top w:w="0" w:type="dxa"/>
            <w:left w:w="108" w:type="dxa"/>
            <w:bottom w:w="0" w:type="dxa"/>
            <w:right w:w="108" w:type="dxa"/>
          </w:tblCellMar>
        </w:tblPrEx>
        <w:trPr>
          <w:trHeight w:val="465" w:hRule="atLeast"/>
          <w:jc w:val="center"/>
        </w:trPr>
        <w:tc>
          <w:tcPr>
            <w:tcW w:w="727" w:type="dxa"/>
            <w:tcBorders>
              <w:top w:val="nil"/>
              <w:left w:val="single" w:color="auto" w:sz="8" w:space="0"/>
              <w:bottom w:val="single" w:color="auto" w:sz="4" w:space="0"/>
              <w:right w:val="single" w:color="auto" w:sz="4" w:space="0"/>
            </w:tcBorders>
            <w:vAlign w:val="center"/>
          </w:tcPr>
          <w:p>
            <w:pPr>
              <w:jc w:val="center"/>
              <w:rPr>
                <w:rFonts w:ascii="宋体" w:hAnsi="宋体" w:cs="宋体"/>
                <w:color w:val="auto"/>
                <w:sz w:val="24"/>
                <w:szCs w:val="24"/>
              </w:rPr>
            </w:pPr>
          </w:p>
        </w:tc>
        <w:tc>
          <w:tcPr>
            <w:tcW w:w="1226"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783"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1254"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1052"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782"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819" w:type="dxa"/>
            <w:tcBorders>
              <w:top w:val="nil"/>
              <w:left w:val="nil"/>
              <w:bottom w:val="single" w:color="auto" w:sz="4" w:space="0"/>
              <w:right w:val="single" w:color="auto" w:sz="4" w:space="0"/>
            </w:tcBorders>
            <w:vAlign w:val="center"/>
          </w:tcPr>
          <w:p>
            <w:pPr>
              <w:jc w:val="center"/>
              <w:rPr>
                <w:rFonts w:ascii="宋体" w:hAnsi="宋体" w:cs="宋体"/>
                <w:color w:val="auto"/>
                <w:sz w:val="18"/>
                <w:szCs w:val="18"/>
              </w:rPr>
            </w:pPr>
          </w:p>
        </w:tc>
        <w:tc>
          <w:tcPr>
            <w:tcW w:w="782"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824"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810"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867" w:type="dxa"/>
            <w:tcBorders>
              <w:top w:val="nil"/>
              <w:left w:val="nil"/>
              <w:bottom w:val="single" w:color="auto" w:sz="4" w:space="0"/>
              <w:right w:val="single" w:color="auto" w:sz="8" w:space="0"/>
            </w:tcBorders>
            <w:vAlign w:val="center"/>
          </w:tcPr>
          <w:p>
            <w:pPr>
              <w:jc w:val="center"/>
              <w:rPr>
                <w:rFonts w:ascii="宋体" w:hAnsi="宋体" w:cs="宋体"/>
                <w:color w:val="auto"/>
                <w:sz w:val="24"/>
                <w:szCs w:val="24"/>
              </w:rPr>
            </w:pPr>
          </w:p>
        </w:tc>
      </w:tr>
      <w:tr>
        <w:tblPrEx>
          <w:tblCellMar>
            <w:top w:w="0" w:type="dxa"/>
            <w:left w:w="108" w:type="dxa"/>
            <w:bottom w:w="0" w:type="dxa"/>
            <w:right w:w="108" w:type="dxa"/>
          </w:tblCellMar>
        </w:tblPrEx>
        <w:trPr>
          <w:trHeight w:val="465" w:hRule="atLeast"/>
          <w:jc w:val="center"/>
        </w:trPr>
        <w:tc>
          <w:tcPr>
            <w:tcW w:w="727" w:type="dxa"/>
            <w:tcBorders>
              <w:top w:val="nil"/>
              <w:left w:val="single" w:color="auto" w:sz="8" w:space="0"/>
              <w:bottom w:val="single" w:color="auto" w:sz="4" w:space="0"/>
              <w:right w:val="single" w:color="auto" w:sz="4" w:space="0"/>
            </w:tcBorders>
            <w:vAlign w:val="center"/>
          </w:tcPr>
          <w:p>
            <w:pPr>
              <w:jc w:val="center"/>
              <w:rPr>
                <w:rFonts w:ascii="宋体" w:hAnsi="宋体" w:cs="宋体"/>
                <w:color w:val="auto"/>
                <w:sz w:val="24"/>
                <w:szCs w:val="24"/>
              </w:rPr>
            </w:pPr>
          </w:p>
        </w:tc>
        <w:tc>
          <w:tcPr>
            <w:tcW w:w="1226"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783"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1254"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1052"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782"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819"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782"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824"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810"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rPr>
            </w:pPr>
          </w:p>
        </w:tc>
        <w:tc>
          <w:tcPr>
            <w:tcW w:w="867" w:type="dxa"/>
            <w:tcBorders>
              <w:top w:val="nil"/>
              <w:left w:val="nil"/>
              <w:bottom w:val="single" w:color="auto" w:sz="4" w:space="0"/>
              <w:right w:val="single" w:color="auto" w:sz="8" w:space="0"/>
            </w:tcBorders>
            <w:vAlign w:val="center"/>
          </w:tcPr>
          <w:p>
            <w:pPr>
              <w:jc w:val="center"/>
              <w:rPr>
                <w:rFonts w:ascii="宋体" w:hAnsi="宋体" w:cs="宋体"/>
                <w:color w:val="auto"/>
                <w:sz w:val="24"/>
                <w:szCs w:val="24"/>
              </w:rPr>
            </w:pPr>
          </w:p>
        </w:tc>
      </w:tr>
    </w:tbl>
    <w:p>
      <w:pPr>
        <w:ind w:left="180"/>
        <w:rPr>
          <w:rFonts w:ascii="宋体" w:hAnsi="宋体" w:cs="宋体"/>
          <w:color w:val="auto"/>
          <w:sz w:val="24"/>
          <w:szCs w:val="24"/>
        </w:rPr>
      </w:pPr>
      <w:r>
        <w:rPr>
          <w:rFonts w:hint="eastAsia" w:ascii="宋体" w:hAnsi="宋体" w:cs="宋体"/>
          <w:color w:val="auto"/>
          <w:sz w:val="24"/>
          <w:szCs w:val="24"/>
        </w:rPr>
        <w:t>注：</w:t>
      </w:r>
    </w:p>
    <w:p>
      <w:pPr>
        <w:spacing w:line="360" w:lineRule="auto"/>
        <w:ind w:left="181"/>
        <w:rPr>
          <w:rFonts w:ascii="宋体" w:hAnsi="宋体" w:cs="宋体"/>
          <w:color w:val="auto"/>
          <w:sz w:val="24"/>
          <w:szCs w:val="24"/>
        </w:rPr>
      </w:pPr>
      <w:r>
        <w:rPr>
          <w:rFonts w:hint="eastAsia" w:ascii="宋体" w:hAnsi="宋体" w:cs="宋体"/>
          <w:color w:val="auto"/>
          <w:sz w:val="24"/>
          <w:szCs w:val="24"/>
        </w:rPr>
        <w:t>1. 商品属性应在“环保产品”、“节能、节水产品”、“自主知识产权产品”、“无”四个选择项中选择填写。</w:t>
      </w:r>
    </w:p>
    <w:p>
      <w:pPr>
        <w:spacing w:line="360" w:lineRule="auto"/>
        <w:ind w:left="181"/>
        <w:rPr>
          <w:rFonts w:ascii="宋体" w:hAnsi="宋体" w:cs="宋体"/>
          <w:color w:val="auto"/>
          <w:sz w:val="24"/>
          <w:szCs w:val="24"/>
        </w:rPr>
      </w:pPr>
      <w:r>
        <w:rPr>
          <w:rFonts w:hint="eastAsia" w:ascii="宋体" w:hAnsi="宋体" w:cs="宋体"/>
          <w:color w:val="auto"/>
          <w:sz w:val="24"/>
          <w:szCs w:val="24"/>
        </w:rPr>
        <w:t>2. 开标分项一览表中应列明开标一览表中每项的分项内容。</w:t>
      </w:r>
    </w:p>
    <w:p>
      <w:pPr>
        <w:spacing w:line="360" w:lineRule="auto"/>
        <w:ind w:left="181"/>
        <w:rPr>
          <w:rFonts w:ascii="宋体" w:hAnsi="宋体" w:cs="宋体"/>
          <w:color w:val="auto"/>
          <w:sz w:val="24"/>
          <w:szCs w:val="24"/>
        </w:rPr>
      </w:pPr>
      <w:r>
        <w:rPr>
          <w:rFonts w:hint="eastAsia" w:ascii="宋体" w:hAnsi="宋体" w:cs="宋体"/>
          <w:color w:val="auto"/>
          <w:sz w:val="24"/>
          <w:szCs w:val="24"/>
        </w:rPr>
        <w:t>3. 如国产产品，产地精确到省级行政区域。如进口产品，产地精确到国家。</w:t>
      </w:r>
    </w:p>
    <w:p>
      <w:pPr>
        <w:spacing w:line="360" w:lineRule="auto"/>
        <w:ind w:left="181"/>
        <w:rPr>
          <w:rFonts w:ascii="宋体" w:hAnsi="宋体" w:cs="宋体"/>
          <w:color w:val="auto"/>
          <w:sz w:val="24"/>
          <w:szCs w:val="24"/>
        </w:rPr>
      </w:pPr>
      <w:r>
        <w:rPr>
          <w:rFonts w:hint="eastAsia" w:ascii="宋体" w:hAnsi="宋体" w:cs="宋体"/>
          <w:color w:val="auto"/>
          <w:sz w:val="24"/>
          <w:szCs w:val="24"/>
        </w:rPr>
        <w:t>4. “单价”须包含产品及附件货款、运输费、运输保险费、装卸费、安装调试费及其他应有的费用。</w:t>
      </w:r>
    </w:p>
    <w:p>
      <w:pPr>
        <w:spacing w:line="460" w:lineRule="exact"/>
        <w:ind w:left="192" w:firstLine="3751" w:firstLineChars="1645"/>
        <w:rPr>
          <w:rFonts w:ascii="宋体" w:hAnsi="宋体" w:cs="宋体"/>
          <w:color w:val="auto"/>
          <w:sz w:val="24"/>
        </w:rPr>
      </w:pPr>
    </w:p>
    <w:p>
      <w:pPr>
        <w:spacing w:line="460" w:lineRule="exact"/>
        <w:ind w:left="192" w:firstLine="3751" w:firstLineChars="1645"/>
        <w:rPr>
          <w:rFonts w:ascii="宋体" w:hAnsi="宋体" w:cs="宋体"/>
          <w:color w:val="auto"/>
          <w:sz w:val="24"/>
        </w:rPr>
      </w:pPr>
      <w:r>
        <w:rPr>
          <w:rFonts w:hint="eastAsia" w:ascii="宋体" w:hAnsi="宋体" w:cs="宋体"/>
          <w:color w:val="auto"/>
          <w:sz w:val="24"/>
          <w:lang w:eastAsia="zh-CN"/>
        </w:rPr>
        <w:t>供应商</w:t>
      </w:r>
      <w:r>
        <w:rPr>
          <w:rFonts w:hint="eastAsia" w:ascii="宋体" w:hAnsi="宋体" w:cs="宋体"/>
          <w:color w:val="auto"/>
          <w:sz w:val="24"/>
        </w:rPr>
        <w:t>代表签字：_______________</w:t>
      </w:r>
    </w:p>
    <w:p>
      <w:pPr>
        <w:spacing w:line="460" w:lineRule="exact"/>
        <w:ind w:left="192" w:firstLine="3751" w:firstLineChars="1645"/>
        <w:rPr>
          <w:rFonts w:ascii="宋体" w:hAnsi="宋体" w:cs="宋体"/>
          <w:color w:val="auto"/>
          <w:sz w:val="24"/>
        </w:rPr>
      </w:pPr>
      <w:r>
        <w:rPr>
          <w:rFonts w:hint="eastAsia" w:ascii="宋体" w:hAnsi="宋体" w:cs="宋体"/>
          <w:color w:val="auto"/>
          <w:sz w:val="24"/>
        </w:rPr>
        <w:t>职务：_________日期：__________</w:t>
      </w:r>
    </w:p>
    <w:p>
      <w:pPr>
        <w:spacing w:line="460" w:lineRule="exact"/>
        <w:ind w:left="192" w:firstLine="3751" w:firstLineChars="1645"/>
        <w:rPr>
          <w:rFonts w:ascii="宋体" w:hAnsi="宋体" w:cs="宋体"/>
          <w:color w:val="auto"/>
          <w:sz w:val="24"/>
        </w:rPr>
      </w:pPr>
      <w:r>
        <w:rPr>
          <w:rFonts w:hint="eastAsia" w:ascii="宋体" w:hAnsi="宋体" w:cs="宋体"/>
          <w:color w:val="auto"/>
          <w:sz w:val="24"/>
          <w:lang w:eastAsia="zh-CN"/>
        </w:rPr>
        <w:t>供应商</w:t>
      </w:r>
      <w:r>
        <w:rPr>
          <w:rFonts w:hint="eastAsia" w:ascii="宋体" w:hAnsi="宋体" w:cs="宋体"/>
          <w:color w:val="auto"/>
          <w:sz w:val="24"/>
        </w:rPr>
        <w:t>名称（公章）：_____________</w:t>
      </w:r>
    </w:p>
    <w:p>
      <w:pPr>
        <w:rPr>
          <w:rFonts w:ascii="宋体" w:hAnsi="宋体" w:cs="宋体"/>
          <w:b/>
          <w:color w:val="auto"/>
          <w:sz w:val="24"/>
          <w:szCs w:val="24"/>
        </w:rPr>
      </w:pPr>
      <w:r>
        <w:rPr>
          <w:rFonts w:hint="eastAsia" w:ascii="宋体" w:hAnsi="宋体" w:cs="宋体"/>
          <w:color w:val="auto"/>
          <w:sz w:val="24"/>
          <w:szCs w:val="24"/>
        </w:rPr>
        <w:br w:type="page"/>
      </w:r>
      <w:r>
        <w:rPr>
          <w:rFonts w:hint="eastAsia" w:ascii="宋体" w:hAnsi="宋体" w:cs="宋体"/>
          <w:b/>
          <w:color w:val="auto"/>
          <w:sz w:val="24"/>
          <w:szCs w:val="24"/>
        </w:rPr>
        <w:t>附件7</w:t>
      </w:r>
    </w:p>
    <w:p>
      <w:pPr>
        <w:spacing w:line="360" w:lineRule="auto"/>
        <w:jc w:val="center"/>
        <w:outlineLvl w:val="0"/>
        <w:rPr>
          <w:b/>
          <w:color w:val="auto"/>
          <w:sz w:val="24"/>
        </w:rPr>
      </w:pPr>
      <w:bookmarkStart w:id="15" w:name="_Toc513304706"/>
      <w:r>
        <w:rPr>
          <w:b/>
          <w:color w:val="auto"/>
          <w:sz w:val="24"/>
        </w:rPr>
        <w:t>投标产品配置清单</w:t>
      </w:r>
      <w:bookmarkEnd w:id="15"/>
    </w:p>
    <w:p>
      <w:pPr>
        <w:spacing w:line="560" w:lineRule="exact"/>
        <w:jc w:val="center"/>
        <w:rPr>
          <w:rFonts w:eastAsia="仿宋"/>
          <w:color w:val="auto"/>
          <w:sz w:val="32"/>
        </w:rPr>
      </w:pPr>
    </w:p>
    <w:p>
      <w:pPr>
        <w:spacing w:line="460" w:lineRule="exact"/>
        <w:rPr>
          <w:color w:val="auto"/>
          <w:sz w:val="24"/>
        </w:rPr>
      </w:pPr>
      <w:r>
        <w:rPr>
          <w:color w:val="auto"/>
          <w:sz w:val="24"/>
        </w:rPr>
        <w:t>项目名称：</w:t>
      </w:r>
      <w:r>
        <w:rPr>
          <w:color w:val="auto"/>
          <w:sz w:val="24"/>
          <w:u w:val="single"/>
        </w:rPr>
        <w:t xml:space="preserve">                    </w:t>
      </w:r>
    </w:p>
    <w:p>
      <w:pPr>
        <w:spacing w:line="460" w:lineRule="exact"/>
        <w:rPr>
          <w:color w:val="auto"/>
          <w:sz w:val="24"/>
        </w:rPr>
      </w:pPr>
      <w:r>
        <w:rPr>
          <w:color w:val="auto"/>
          <w:sz w:val="24"/>
        </w:rPr>
        <w:t>项目编号：</w:t>
      </w:r>
      <w:r>
        <w:rPr>
          <w:color w:val="auto"/>
          <w:sz w:val="24"/>
          <w:u w:val="single"/>
        </w:rPr>
        <w:t xml:space="preserve">                    </w:t>
      </w:r>
    </w:p>
    <w:p>
      <w:pPr>
        <w:spacing w:line="460" w:lineRule="exact"/>
        <w:rPr>
          <w:color w:val="auto"/>
          <w:sz w:val="24"/>
          <w:u w:val="single"/>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698"/>
        <w:gridCol w:w="1560"/>
        <w:gridCol w:w="4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spacing w:line="560" w:lineRule="exact"/>
              <w:jc w:val="center"/>
              <w:rPr>
                <w:color w:val="auto"/>
                <w:sz w:val="24"/>
              </w:rPr>
            </w:pPr>
            <w:r>
              <w:rPr>
                <w:color w:val="auto"/>
                <w:sz w:val="24"/>
              </w:rPr>
              <w:t>序号</w:t>
            </w:r>
          </w:p>
        </w:tc>
        <w:tc>
          <w:tcPr>
            <w:tcW w:w="1698" w:type="dxa"/>
            <w:vAlign w:val="center"/>
          </w:tcPr>
          <w:p>
            <w:pPr>
              <w:spacing w:line="560" w:lineRule="exact"/>
              <w:jc w:val="center"/>
              <w:rPr>
                <w:color w:val="auto"/>
                <w:sz w:val="24"/>
              </w:rPr>
            </w:pPr>
            <w:r>
              <w:rPr>
                <w:color w:val="auto"/>
                <w:sz w:val="24"/>
              </w:rPr>
              <w:t>设备名称</w:t>
            </w:r>
          </w:p>
        </w:tc>
        <w:tc>
          <w:tcPr>
            <w:tcW w:w="1560" w:type="dxa"/>
            <w:vAlign w:val="center"/>
          </w:tcPr>
          <w:p>
            <w:pPr>
              <w:spacing w:line="560" w:lineRule="exact"/>
              <w:jc w:val="center"/>
              <w:rPr>
                <w:color w:val="auto"/>
                <w:sz w:val="24"/>
              </w:rPr>
            </w:pPr>
            <w:r>
              <w:rPr>
                <w:color w:val="auto"/>
                <w:sz w:val="24"/>
              </w:rPr>
              <w:t>规格型号</w:t>
            </w:r>
          </w:p>
        </w:tc>
        <w:tc>
          <w:tcPr>
            <w:tcW w:w="4304" w:type="dxa"/>
            <w:vAlign w:val="center"/>
          </w:tcPr>
          <w:p>
            <w:pPr>
              <w:spacing w:line="560" w:lineRule="exact"/>
              <w:jc w:val="center"/>
              <w:rPr>
                <w:color w:val="auto"/>
                <w:sz w:val="24"/>
              </w:rPr>
            </w:pPr>
            <w:r>
              <w:rPr>
                <w:color w:val="auto"/>
                <w:sz w:val="24"/>
              </w:rPr>
              <w:t>详细配置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spacing w:line="560" w:lineRule="exact"/>
              <w:jc w:val="center"/>
              <w:rPr>
                <w:color w:val="auto"/>
                <w:sz w:val="24"/>
              </w:rPr>
            </w:pPr>
            <w:r>
              <w:rPr>
                <w:color w:val="auto"/>
                <w:sz w:val="24"/>
              </w:rPr>
              <w:t>1</w:t>
            </w:r>
          </w:p>
        </w:tc>
        <w:tc>
          <w:tcPr>
            <w:tcW w:w="1698" w:type="dxa"/>
            <w:vAlign w:val="center"/>
          </w:tcPr>
          <w:p>
            <w:pPr>
              <w:spacing w:line="560" w:lineRule="exact"/>
              <w:jc w:val="center"/>
              <w:rPr>
                <w:color w:val="auto"/>
                <w:sz w:val="24"/>
              </w:rPr>
            </w:pPr>
          </w:p>
        </w:tc>
        <w:tc>
          <w:tcPr>
            <w:tcW w:w="1560" w:type="dxa"/>
            <w:vAlign w:val="center"/>
          </w:tcPr>
          <w:p>
            <w:pPr>
              <w:spacing w:line="560" w:lineRule="exact"/>
              <w:jc w:val="center"/>
              <w:rPr>
                <w:color w:val="auto"/>
                <w:sz w:val="24"/>
              </w:rPr>
            </w:pPr>
          </w:p>
        </w:tc>
        <w:tc>
          <w:tcPr>
            <w:tcW w:w="4304" w:type="dxa"/>
            <w:vAlign w:val="center"/>
          </w:tcPr>
          <w:p>
            <w:pPr>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spacing w:line="560" w:lineRule="exact"/>
              <w:jc w:val="center"/>
              <w:rPr>
                <w:color w:val="auto"/>
                <w:sz w:val="24"/>
              </w:rPr>
            </w:pPr>
            <w:r>
              <w:rPr>
                <w:color w:val="auto"/>
                <w:sz w:val="24"/>
              </w:rPr>
              <w:t>2</w:t>
            </w:r>
          </w:p>
        </w:tc>
        <w:tc>
          <w:tcPr>
            <w:tcW w:w="1698" w:type="dxa"/>
            <w:vAlign w:val="center"/>
          </w:tcPr>
          <w:p>
            <w:pPr>
              <w:spacing w:line="560" w:lineRule="exact"/>
              <w:jc w:val="center"/>
              <w:rPr>
                <w:color w:val="auto"/>
                <w:sz w:val="24"/>
              </w:rPr>
            </w:pPr>
          </w:p>
        </w:tc>
        <w:tc>
          <w:tcPr>
            <w:tcW w:w="1560" w:type="dxa"/>
            <w:vAlign w:val="center"/>
          </w:tcPr>
          <w:p>
            <w:pPr>
              <w:spacing w:line="560" w:lineRule="exact"/>
              <w:jc w:val="center"/>
              <w:rPr>
                <w:color w:val="auto"/>
                <w:sz w:val="24"/>
              </w:rPr>
            </w:pPr>
          </w:p>
        </w:tc>
        <w:tc>
          <w:tcPr>
            <w:tcW w:w="4304" w:type="dxa"/>
            <w:vAlign w:val="center"/>
          </w:tcPr>
          <w:p>
            <w:pPr>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spacing w:line="560" w:lineRule="exact"/>
              <w:jc w:val="center"/>
              <w:rPr>
                <w:color w:val="auto"/>
                <w:sz w:val="24"/>
              </w:rPr>
            </w:pPr>
            <w:r>
              <w:rPr>
                <w:color w:val="auto"/>
                <w:sz w:val="24"/>
              </w:rPr>
              <w:t>3</w:t>
            </w:r>
          </w:p>
        </w:tc>
        <w:tc>
          <w:tcPr>
            <w:tcW w:w="1698" w:type="dxa"/>
            <w:vAlign w:val="center"/>
          </w:tcPr>
          <w:p>
            <w:pPr>
              <w:spacing w:line="560" w:lineRule="exact"/>
              <w:jc w:val="center"/>
              <w:rPr>
                <w:color w:val="auto"/>
                <w:sz w:val="24"/>
              </w:rPr>
            </w:pPr>
          </w:p>
        </w:tc>
        <w:tc>
          <w:tcPr>
            <w:tcW w:w="1560" w:type="dxa"/>
            <w:vAlign w:val="center"/>
          </w:tcPr>
          <w:p>
            <w:pPr>
              <w:spacing w:line="560" w:lineRule="exact"/>
              <w:jc w:val="center"/>
              <w:rPr>
                <w:color w:val="auto"/>
                <w:sz w:val="24"/>
              </w:rPr>
            </w:pPr>
          </w:p>
        </w:tc>
        <w:tc>
          <w:tcPr>
            <w:tcW w:w="4304" w:type="dxa"/>
            <w:vAlign w:val="center"/>
          </w:tcPr>
          <w:p>
            <w:pPr>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vAlign w:val="center"/>
          </w:tcPr>
          <w:p>
            <w:pPr>
              <w:spacing w:line="560" w:lineRule="exact"/>
              <w:jc w:val="center"/>
              <w:rPr>
                <w:color w:val="auto"/>
                <w:sz w:val="24"/>
              </w:rPr>
            </w:pPr>
            <w:r>
              <w:rPr>
                <w:color w:val="auto"/>
                <w:sz w:val="24"/>
              </w:rPr>
              <w:t>…</w:t>
            </w:r>
          </w:p>
        </w:tc>
        <w:tc>
          <w:tcPr>
            <w:tcW w:w="1698" w:type="dxa"/>
            <w:vAlign w:val="center"/>
          </w:tcPr>
          <w:p>
            <w:pPr>
              <w:spacing w:line="560" w:lineRule="exact"/>
              <w:jc w:val="center"/>
              <w:rPr>
                <w:color w:val="auto"/>
                <w:sz w:val="24"/>
              </w:rPr>
            </w:pPr>
          </w:p>
        </w:tc>
        <w:tc>
          <w:tcPr>
            <w:tcW w:w="1560" w:type="dxa"/>
            <w:vAlign w:val="center"/>
          </w:tcPr>
          <w:p>
            <w:pPr>
              <w:spacing w:line="560" w:lineRule="exact"/>
              <w:jc w:val="center"/>
              <w:rPr>
                <w:color w:val="auto"/>
                <w:sz w:val="24"/>
              </w:rPr>
            </w:pPr>
          </w:p>
        </w:tc>
        <w:tc>
          <w:tcPr>
            <w:tcW w:w="4304" w:type="dxa"/>
            <w:vAlign w:val="center"/>
          </w:tcPr>
          <w:p>
            <w:pPr>
              <w:spacing w:line="560" w:lineRule="exact"/>
              <w:jc w:val="center"/>
              <w:rPr>
                <w:color w:val="auto"/>
                <w:sz w:val="24"/>
              </w:rPr>
            </w:pPr>
          </w:p>
        </w:tc>
      </w:tr>
    </w:tbl>
    <w:p>
      <w:pPr>
        <w:spacing w:line="560" w:lineRule="exact"/>
        <w:rPr>
          <w:color w:val="auto"/>
          <w:sz w:val="24"/>
        </w:rPr>
      </w:pPr>
    </w:p>
    <w:p>
      <w:pPr>
        <w:spacing w:line="560" w:lineRule="exact"/>
        <w:rPr>
          <w:color w:val="auto"/>
          <w:sz w:val="24"/>
        </w:rPr>
      </w:pPr>
    </w:p>
    <w:p>
      <w:pPr>
        <w:spacing w:line="460" w:lineRule="exact"/>
        <w:ind w:left="192" w:firstLine="3751" w:firstLineChars="1645"/>
        <w:rPr>
          <w:color w:val="auto"/>
          <w:sz w:val="24"/>
        </w:rPr>
      </w:pPr>
      <w:r>
        <w:rPr>
          <w:rFonts w:hint="eastAsia"/>
          <w:color w:val="auto"/>
          <w:sz w:val="24"/>
          <w:lang w:eastAsia="zh-CN"/>
        </w:rPr>
        <w:t>供应商</w:t>
      </w:r>
      <w:r>
        <w:rPr>
          <w:color w:val="auto"/>
          <w:sz w:val="24"/>
        </w:rPr>
        <w:t>代表签字：_______________</w:t>
      </w:r>
    </w:p>
    <w:p>
      <w:pPr>
        <w:spacing w:line="460" w:lineRule="exact"/>
        <w:ind w:left="192" w:firstLine="3751" w:firstLineChars="1645"/>
        <w:rPr>
          <w:color w:val="auto"/>
          <w:sz w:val="24"/>
        </w:rPr>
      </w:pPr>
    </w:p>
    <w:p>
      <w:pPr>
        <w:spacing w:line="460" w:lineRule="exact"/>
        <w:ind w:left="192" w:firstLine="3751" w:firstLineChars="1645"/>
        <w:rPr>
          <w:color w:val="auto"/>
          <w:sz w:val="24"/>
        </w:rPr>
      </w:pPr>
      <w:r>
        <w:rPr>
          <w:color w:val="auto"/>
          <w:sz w:val="24"/>
        </w:rPr>
        <w:t>职务：_________日期：__________</w:t>
      </w:r>
    </w:p>
    <w:p>
      <w:pPr>
        <w:spacing w:line="460" w:lineRule="exact"/>
        <w:ind w:left="192" w:firstLine="3751" w:firstLineChars="1645"/>
        <w:rPr>
          <w:color w:val="auto"/>
          <w:sz w:val="24"/>
        </w:rPr>
      </w:pPr>
    </w:p>
    <w:p>
      <w:pPr>
        <w:spacing w:line="460" w:lineRule="exact"/>
        <w:ind w:left="192" w:firstLine="3751" w:firstLineChars="1645"/>
        <w:rPr>
          <w:color w:val="auto"/>
          <w:sz w:val="24"/>
        </w:rPr>
      </w:pPr>
      <w:r>
        <w:rPr>
          <w:rFonts w:hint="eastAsia"/>
          <w:color w:val="auto"/>
          <w:sz w:val="24"/>
          <w:lang w:eastAsia="zh-CN"/>
        </w:rPr>
        <w:t>供应商</w:t>
      </w:r>
      <w:r>
        <w:rPr>
          <w:color w:val="auto"/>
          <w:sz w:val="24"/>
        </w:rPr>
        <w:t>名称（公章）：_____________</w:t>
      </w:r>
    </w:p>
    <w:p>
      <w:pPr>
        <w:pStyle w:val="2"/>
        <w:rPr>
          <w:color w:val="auto"/>
        </w:rPr>
      </w:pPr>
    </w:p>
    <w:p>
      <w:pPr>
        <w:spacing w:after="0" w:line="560" w:lineRule="exact"/>
        <w:rPr>
          <w:rFonts w:ascii="宋体" w:hAnsi="宋体" w:cs="宋体"/>
          <w:b/>
          <w:color w:val="auto"/>
          <w:sz w:val="24"/>
          <w:szCs w:val="24"/>
        </w:rPr>
      </w:pPr>
      <w:r>
        <w:rPr>
          <w:rFonts w:hint="eastAsia" w:ascii="宋体" w:hAnsi="宋体" w:cs="宋体"/>
          <w:b/>
          <w:color w:val="auto"/>
          <w:sz w:val="24"/>
          <w:szCs w:val="24"/>
        </w:rPr>
        <w:t>附件8</w:t>
      </w:r>
    </w:p>
    <w:p>
      <w:pPr>
        <w:spacing w:after="0" w:line="560" w:lineRule="exact"/>
        <w:jc w:val="center"/>
        <w:rPr>
          <w:rFonts w:ascii="宋体" w:hAnsi="宋体" w:cs="宋体"/>
          <w:b/>
          <w:color w:val="auto"/>
          <w:sz w:val="24"/>
          <w:szCs w:val="24"/>
        </w:rPr>
      </w:pPr>
      <w:r>
        <w:rPr>
          <w:rFonts w:hint="eastAsia" w:ascii="宋体" w:hAnsi="宋体" w:cs="宋体"/>
          <w:b/>
          <w:color w:val="auto"/>
          <w:sz w:val="24"/>
          <w:szCs w:val="24"/>
        </w:rPr>
        <w:t>商务要求点对点应答表</w:t>
      </w:r>
    </w:p>
    <w:p>
      <w:pPr>
        <w:spacing w:after="0" w:line="560" w:lineRule="exact"/>
        <w:rPr>
          <w:rFonts w:ascii="宋体" w:hAnsi="宋体" w:cs="宋体"/>
          <w:color w:val="auto"/>
          <w:sz w:val="24"/>
          <w:szCs w:val="24"/>
        </w:rPr>
      </w:pPr>
      <w:r>
        <w:rPr>
          <w:rFonts w:hint="eastAsia" w:ascii="宋体" w:hAnsi="宋体" w:cs="宋体"/>
          <w:color w:val="auto"/>
          <w:sz w:val="24"/>
          <w:szCs w:val="24"/>
        </w:rPr>
        <w:t>项目名称：</w:t>
      </w:r>
    </w:p>
    <w:p>
      <w:pPr>
        <w:spacing w:after="0" w:line="560" w:lineRule="exact"/>
        <w:rPr>
          <w:rFonts w:ascii="宋体" w:hAnsi="宋体" w:cs="宋体"/>
          <w:color w:val="auto"/>
          <w:sz w:val="24"/>
          <w:szCs w:val="24"/>
        </w:rPr>
      </w:pPr>
      <w:r>
        <w:rPr>
          <w:rFonts w:hint="eastAsia" w:ascii="宋体" w:hAnsi="宋体" w:cs="宋体"/>
          <w:color w:val="auto"/>
          <w:sz w:val="24"/>
          <w:szCs w:val="24"/>
        </w:rPr>
        <w:t>项目编号：</w:t>
      </w:r>
    </w:p>
    <w:tbl>
      <w:tblPr>
        <w:tblStyle w:val="30"/>
        <w:tblW w:w="8755" w:type="dxa"/>
        <w:tblInd w:w="0" w:type="dxa"/>
        <w:tblLayout w:type="fixed"/>
        <w:tblCellMar>
          <w:top w:w="0" w:type="dxa"/>
          <w:left w:w="108" w:type="dxa"/>
          <w:bottom w:w="0" w:type="dxa"/>
          <w:right w:w="108" w:type="dxa"/>
        </w:tblCellMar>
      </w:tblPr>
      <w:tblGrid>
        <w:gridCol w:w="1705"/>
        <w:gridCol w:w="2231"/>
        <w:gridCol w:w="2551"/>
        <w:gridCol w:w="1135"/>
        <w:gridCol w:w="1133"/>
      </w:tblGrid>
      <w:tr>
        <w:tblPrEx>
          <w:tblCellMar>
            <w:top w:w="0" w:type="dxa"/>
            <w:left w:w="108" w:type="dxa"/>
            <w:bottom w:w="0" w:type="dxa"/>
            <w:right w:w="108" w:type="dxa"/>
          </w:tblCellMar>
        </w:tblPrEx>
        <w:trPr>
          <w:trHeight w:val="373" w:hRule="atLeast"/>
        </w:trPr>
        <w:tc>
          <w:tcPr>
            <w:tcW w:w="170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序号</w:t>
            </w:r>
          </w:p>
        </w:tc>
        <w:tc>
          <w:tcPr>
            <w:tcW w:w="2231"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招标要求</w:t>
            </w:r>
          </w:p>
        </w:tc>
        <w:tc>
          <w:tcPr>
            <w:tcW w:w="2551"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投标应答</w:t>
            </w:r>
          </w:p>
        </w:tc>
        <w:tc>
          <w:tcPr>
            <w:tcW w:w="1135"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偏离说明</w:t>
            </w:r>
          </w:p>
        </w:tc>
        <w:tc>
          <w:tcPr>
            <w:tcW w:w="1133"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备注</w:t>
            </w: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（一）报价要求</w:t>
            </w:r>
          </w:p>
        </w:tc>
      </w:tr>
      <w:tr>
        <w:tblPrEx>
          <w:tblCellMar>
            <w:top w:w="0" w:type="dxa"/>
            <w:left w:w="108" w:type="dxa"/>
            <w:bottom w:w="0" w:type="dxa"/>
            <w:right w:w="108" w:type="dxa"/>
          </w:tblCellMar>
        </w:tblPrEx>
        <w:trPr>
          <w:trHeight w:val="46" w:hRule="atLeast"/>
        </w:trPr>
        <w:tc>
          <w:tcPr>
            <w:tcW w:w="1705"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223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255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1135"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1133"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（二）服务要求</w:t>
            </w:r>
          </w:p>
        </w:tc>
      </w:tr>
      <w:tr>
        <w:tblPrEx>
          <w:tblCellMar>
            <w:top w:w="0" w:type="dxa"/>
            <w:left w:w="108" w:type="dxa"/>
            <w:bottom w:w="0" w:type="dxa"/>
            <w:right w:w="108" w:type="dxa"/>
          </w:tblCellMar>
        </w:tblPrEx>
        <w:tc>
          <w:tcPr>
            <w:tcW w:w="1705"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223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255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1135"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1133"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（三）交货要求</w:t>
            </w:r>
          </w:p>
        </w:tc>
      </w:tr>
      <w:tr>
        <w:tblPrEx>
          <w:tblCellMar>
            <w:top w:w="0" w:type="dxa"/>
            <w:left w:w="108" w:type="dxa"/>
            <w:bottom w:w="0" w:type="dxa"/>
            <w:right w:w="108" w:type="dxa"/>
          </w:tblCellMar>
        </w:tblPrEx>
        <w:tc>
          <w:tcPr>
            <w:tcW w:w="1705"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223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255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1135"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1133"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（四）付款方式</w:t>
            </w:r>
          </w:p>
        </w:tc>
      </w:tr>
      <w:tr>
        <w:tblPrEx>
          <w:tblCellMar>
            <w:top w:w="0" w:type="dxa"/>
            <w:left w:w="108" w:type="dxa"/>
            <w:bottom w:w="0" w:type="dxa"/>
            <w:right w:w="108" w:type="dxa"/>
          </w:tblCellMar>
        </w:tblPrEx>
        <w:tc>
          <w:tcPr>
            <w:tcW w:w="1705"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223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255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1135"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1133"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（五）投标保证金和履约保证金</w:t>
            </w:r>
          </w:p>
        </w:tc>
      </w:tr>
      <w:tr>
        <w:tblPrEx>
          <w:tblCellMar>
            <w:top w:w="0" w:type="dxa"/>
            <w:left w:w="108" w:type="dxa"/>
            <w:bottom w:w="0" w:type="dxa"/>
            <w:right w:w="108" w:type="dxa"/>
          </w:tblCellMar>
        </w:tblPrEx>
        <w:tc>
          <w:tcPr>
            <w:tcW w:w="1705"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223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255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1135"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c>
          <w:tcPr>
            <w:tcW w:w="1133"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after="0" w:line="500" w:lineRule="exact"/>
              <w:textAlignment w:val="auto"/>
              <w:rPr>
                <w:rFonts w:ascii="宋体" w:hAnsi="宋体" w:cs="宋体"/>
                <w:color w:val="auto"/>
                <w:sz w:val="24"/>
                <w:szCs w:val="24"/>
              </w:rPr>
            </w:pPr>
            <w:r>
              <w:rPr>
                <w:rFonts w:hint="eastAsia" w:ascii="宋体" w:hAnsi="宋体" w:cs="宋体"/>
                <w:color w:val="auto"/>
                <w:sz w:val="24"/>
                <w:szCs w:val="24"/>
              </w:rPr>
              <w:t>　</w:t>
            </w:r>
          </w:p>
        </w:tc>
      </w:tr>
    </w:tbl>
    <w:p>
      <w:pPr>
        <w:spacing w:after="0" w:line="560" w:lineRule="exact"/>
        <w:rPr>
          <w:rFonts w:ascii="宋体" w:hAnsi="宋体" w:cs="宋体"/>
          <w:color w:val="auto"/>
          <w:sz w:val="24"/>
          <w:szCs w:val="24"/>
        </w:rPr>
      </w:pPr>
      <w:r>
        <w:rPr>
          <w:rFonts w:hint="eastAsia" w:ascii="宋体" w:hAnsi="宋体" w:cs="宋体"/>
          <w:color w:val="auto"/>
          <w:sz w:val="24"/>
          <w:szCs w:val="24"/>
        </w:rPr>
        <w:t>注：</w:t>
      </w:r>
    </w:p>
    <w:p>
      <w:pPr>
        <w:spacing w:after="0" w:line="560" w:lineRule="exact"/>
        <w:rPr>
          <w:rFonts w:ascii="宋体" w:hAnsi="宋体" w:cs="宋体"/>
          <w:color w:val="auto"/>
          <w:sz w:val="24"/>
          <w:szCs w:val="24"/>
        </w:rPr>
      </w:pPr>
      <w:r>
        <w:rPr>
          <w:rFonts w:hint="eastAsia" w:ascii="宋体" w:hAnsi="宋体" w:cs="宋体"/>
          <w:color w:val="auto"/>
          <w:sz w:val="24"/>
          <w:szCs w:val="24"/>
        </w:rPr>
        <w:t>1. 不如实填写偏离情况的投标文件将视为虚假材料。</w:t>
      </w:r>
    </w:p>
    <w:p>
      <w:pPr>
        <w:spacing w:after="0" w:line="560" w:lineRule="exact"/>
        <w:rPr>
          <w:rFonts w:ascii="宋体" w:hAnsi="宋体" w:cs="宋体"/>
          <w:color w:val="auto"/>
          <w:sz w:val="24"/>
          <w:szCs w:val="24"/>
        </w:rPr>
      </w:pPr>
      <w:r>
        <w:rPr>
          <w:rFonts w:hint="eastAsia" w:ascii="宋体" w:hAnsi="宋体" w:cs="宋体"/>
          <w:color w:val="auto"/>
          <w:sz w:val="24"/>
          <w:szCs w:val="24"/>
        </w:rPr>
        <w:t>2. 招标要求指招标文件中规定的具体要求，投标应答指投标文件的具体内容。</w:t>
      </w:r>
    </w:p>
    <w:p>
      <w:pPr>
        <w:spacing w:after="0" w:line="560" w:lineRule="exact"/>
        <w:rPr>
          <w:rFonts w:ascii="宋体" w:hAnsi="宋体" w:cs="宋体"/>
          <w:color w:val="auto"/>
          <w:sz w:val="24"/>
          <w:szCs w:val="24"/>
        </w:rPr>
      </w:pPr>
      <w:r>
        <w:rPr>
          <w:rFonts w:hint="eastAsia" w:ascii="宋体" w:hAnsi="宋体" w:cs="宋体"/>
          <w:color w:val="auto"/>
          <w:sz w:val="24"/>
          <w:szCs w:val="24"/>
        </w:rPr>
        <w:t>4. 偏离说明指招标要求与投标应答之间的不同之处。</w:t>
      </w:r>
    </w:p>
    <w:p>
      <w:pPr>
        <w:spacing w:after="0" w:line="560" w:lineRule="exact"/>
        <w:rPr>
          <w:rFonts w:ascii="宋体" w:hAnsi="宋体" w:cs="宋体"/>
          <w:color w:val="auto"/>
          <w:sz w:val="24"/>
          <w:szCs w:val="24"/>
        </w:rPr>
      </w:pPr>
    </w:p>
    <w:p>
      <w:pPr>
        <w:spacing w:after="0" w:line="560" w:lineRule="exact"/>
        <w:jc w:val="right"/>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代表签字：_______________</w:t>
      </w:r>
    </w:p>
    <w:p>
      <w:pPr>
        <w:spacing w:after="0" w:line="560" w:lineRule="exact"/>
        <w:jc w:val="right"/>
        <w:rPr>
          <w:rFonts w:ascii="宋体" w:hAnsi="宋体" w:cs="宋体"/>
          <w:color w:val="auto"/>
          <w:sz w:val="24"/>
          <w:szCs w:val="24"/>
        </w:rPr>
      </w:pPr>
      <w:r>
        <w:rPr>
          <w:rFonts w:hint="eastAsia" w:ascii="宋体" w:hAnsi="宋体" w:cs="宋体"/>
          <w:color w:val="auto"/>
          <w:sz w:val="24"/>
          <w:szCs w:val="24"/>
        </w:rPr>
        <w:t>职务：_________日期：__________</w:t>
      </w:r>
    </w:p>
    <w:p>
      <w:pPr>
        <w:spacing w:after="0" w:line="560" w:lineRule="exact"/>
        <w:jc w:val="right"/>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名称（公章）：_____________</w:t>
      </w:r>
    </w:p>
    <w:p>
      <w:pPr>
        <w:spacing w:after="0" w:line="560" w:lineRule="exact"/>
        <w:rPr>
          <w:rFonts w:ascii="宋体" w:hAnsi="宋体" w:cs="宋体"/>
          <w:b/>
          <w:color w:val="auto"/>
          <w:sz w:val="24"/>
          <w:szCs w:val="24"/>
        </w:rPr>
      </w:pPr>
      <w:r>
        <w:rPr>
          <w:rFonts w:hint="eastAsia" w:ascii="宋体" w:hAnsi="宋体" w:cs="宋体"/>
          <w:color w:val="auto"/>
          <w:sz w:val="24"/>
          <w:szCs w:val="24"/>
        </w:rPr>
        <w:br w:type="page"/>
      </w:r>
      <w:r>
        <w:rPr>
          <w:rFonts w:hint="eastAsia" w:ascii="宋体" w:hAnsi="宋体" w:cs="宋体"/>
          <w:b/>
          <w:color w:val="auto"/>
          <w:sz w:val="24"/>
          <w:szCs w:val="24"/>
        </w:rPr>
        <w:t>附件9</w:t>
      </w:r>
    </w:p>
    <w:p>
      <w:pPr>
        <w:spacing w:after="0" w:line="560" w:lineRule="exact"/>
        <w:jc w:val="center"/>
        <w:rPr>
          <w:rFonts w:ascii="宋体" w:hAnsi="宋体" w:cs="宋体"/>
          <w:b/>
          <w:color w:val="auto"/>
          <w:sz w:val="24"/>
          <w:szCs w:val="24"/>
        </w:rPr>
      </w:pPr>
      <w:r>
        <w:rPr>
          <w:rFonts w:hint="eastAsia" w:ascii="宋体" w:hAnsi="宋体" w:cs="宋体"/>
          <w:b/>
          <w:color w:val="auto"/>
          <w:sz w:val="24"/>
          <w:szCs w:val="24"/>
        </w:rPr>
        <w:t>技术要求点对点应答表</w:t>
      </w:r>
    </w:p>
    <w:p>
      <w:pPr>
        <w:spacing w:after="0" w:line="560" w:lineRule="exact"/>
        <w:rPr>
          <w:rFonts w:ascii="宋体" w:hAnsi="宋体" w:cs="宋体"/>
          <w:color w:val="auto"/>
          <w:sz w:val="24"/>
          <w:szCs w:val="24"/>
        </w:rPr>
      </w:pPr>
      <w:r>
        <w:rPr>
          <w:rFonts w:hint="eastAsia" w:ascii="宋体" w:hAnsi="宋体" w:cs="宋体"/>
          <w:color w:val="auto"/>
          <w:sz w:val="24"/>
          <w:szCs w:val="24"/>
        </w:rPr>
        <w:t>项目名称：</w:t>
      </w:r>
    </w:p>
    <w:p>
      <w:pPr>
        <w:spacing w:after="0" w:line="560" w:lineRule="exact"/>
        <w:rPr>
          <w:rFonts w:ascii="宋体" w:hAnsi="宋体" w:cs="宋体"/>
          <w:color w:val="auto"/>
          <w:sz w:val="24"/>
          <w:szCs w:val="24"/>
        </w:rPr>
      </w:pPr>
      <w:r>
        <w:rPr>
          <w:rFonts w:hint="eastAsia" w:ascii="宋体" w:hAnsi="宋体" w:cs="宋体"/>
          <w:color w:val="auto"/>
          <w:sz w:val="24"/>
          <w:szCs w:val="24"/>
        </w:rPr>
        <w:t>项目编号：</w:t>
      </w:r>
    </w:p>
    <w:tbl>
      <w:tblPr>
        <w:tblStyle w:val="30"/>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039"/>
        <w:gridCol w:w="851"/>
        <w:gridCol w:w="1790"/>
        <w:gridCol w:w="2680"/>
        <w:gridCol w:w="1289"/>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807" w:type="dxa"/>
            <w:gridSpan w:val="7"/>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招标文件第二部分技术要求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序号</w:t>
            </w:r>
          </w:p>
        </w:tc>
        <w:tc>
          <w:tcPr>
            <w:tcW w:w="3680" w:type="dxa"/>
            <w:gridSpan w:val="3"/>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招标要求</w:t>
            </w:r>
          </w:p>
        </w:tc>
        <w:tc>
          <w:tcPr>
            <w:tcW w:w="2680"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投标应答</w:t>
            </w:r>
          </w:p>
        </w:tc>
        <w:tc>
          <w:tcPr>
            <w:tcW w:w="1289"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偏离说明</w:t>
            </w:r>
          </w:p>
        </w:tc>
        <w:tc>
          <w:tcPr>
            <w:tcW w:w="1315"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1</w:t>
            </w:r>
          </w:p>
        </w:tc>
        <w:tc>
          <w:tcPr>
            <w:tcW w:w="3680" w:type="dxa"/>
            <w:gridSpan w:val="3"/>
            <w:vAlign w:val="center"/>
          </w:tcPr>
          <w:p>
            <w:pPr>
              <w:spacing w:after="0" w:line="560" w:lineRule="exact"/>
              <w:rPr>
                <w:rFonts w:ascii="宋体" w:hAnsi="宋体" w:cs="宋体"/>
                <w:color w:val="auto"/>
                <w:sz w:val="24"/>
                <w:szCs w:val="24"/>
              </w:rPr>
            </w:pPr>
          </w:p>
        </w:tc>
        <w:tc>
          <w:tcPr>
            <w:tcW w:w="2680" w:type="dxa"/>
            <w:vAlign w:val="center"/>
          </w:tcPr>
          <w:p>
            <w:pPr>
              <w:spacing w:after="0" w:line="560" w:lineRule="exact"/>
              <w:rPr>
                <w:rFonts w:ascii="宋体" w:hAnsi="宋体" w:cs="宋体"/>
                <w:color w:val="auto"/>
                <w:sz w:val="24"/>
                <w:szCs w:val="24"/>
              </w:rPr>
            </w:pPr>
          </w:p>
        </w:tc>
        <w:tc>
          <w:tcPr>
            <w:tcW w:w="1289" w:type="dxa"/>
            <w:vAlign w:val="center"/>
          </w:tcPr>
          <w:p>
            <w:pPr>
              <w:spacing w:after="0" w:line="560" w:lineRule="exact"/>
              <w:rPr>
                <w:rFonts w:ascii="宋体" w:hAnsi="宋体" w:cs="宋体"/>
                <w:color w:val="auto"/>
                <w:sz w:val="24"/>
                <w:szCs w:val="24"/>
              </w:rPr>
            </w:pPr>
          </w:p>
        </w:tc>
        <w:tc>
          <w:tcPr>
            <w:tcW w:w="1315" w:type="dxa"/>
            <w:vAlign w:val="center"/>
          </w:tcPr>
          <w:p>
            <w:pPr>
              <w:spacing w:after="0" w:line="56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2</w:t>
            </w:r>
          </w:p>
        </w:tc>
        <w:tc>
          <w:tcPr>
            <w:tcW w:w="3680" w:type="dxa"/>
            <w:gridSpan w:val="3"/>
            <w:vAlign w:val="center"/>
          </w:tcPr>
          <w:p>
            <w:pPr>
              <w:spacing w:after="0" w:line="560" w:lineRule="exact"/>
              <w:rPr>
                <w:rFonts w:ascii="宋体" w:hAnsi="宋体" w:cs="宋体"/>
                <w:color w:val="auto"/>
                <w:sz w:val="24"/>
                <w:szCs w:val="24"/>
              </w:rPr>
            </w:pPr>
          </w:p>
        </w:tc>
        <w:tc>
          <w:tcPr>
            <w:tcW w:w="2680" w:type="dxa"/>
            <w:vAlign w:val="center"/>
          </w:tcPr>
          <w:p>
            <w:pPr>
              <w:spacing w:after="0" w:line="560" w:lineRule="exact"/>
              <w:rPr>
                <w:rFonts w:ascii="宋体" w:hAnsi="宋体" w:cs="宋体"/>
                <w:color w:val="auto"/>
                <w:sz w:val="24"/>
                <w:szCs w:val="24"/>
              </w:rPr>
            </w:pPr>
          </w:p>
        </w:tc>
        <w:tc>
          <w:tcPr>
            <w:tcW w:w="1289" w:type="dxa"/>
            <w:vAlign w:val="center"/>
          </w:tcPr>
          <w:p>
            <w:pPr>
              <w:spacing w:after="0" w:line="560" w:lineRule="exact"/>
              <w:rPr>
                <w:rFonts w:ascii="宋体" w:hAnsi="宋体" w:cs="宋体"/>
                <w:color w:val="auto"/>
                <w:sz w:val="24"/>
                <w:szCs w:val="24"/>
              </w:rPr>
            </w:pPr>
          </w:p>
        </w:tc>
        <w:tc>
          <w:tcPr>
            <w:tcW w:w="1315" w:type="dxa"/>
            <w:vAlign w:val="center"/>
          </w:tcPr>
          <w:p>
            <w:pPr>
              <w:spacing w:after="0" w:line="56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w:t>
            </w:r>
          </w:p>
        </w:tc>
        <w:tc>
          <w:tcPr>
            <w:tcW w:w="3680" w:type="dxa"/>
            <w:gridSpan w:val="3"/>
            <w:vAlign w:val="center"/>
          </w:tcPr>
          <w:p>
            <w:pPr>
              <w:spacing w:after="0" w:line="560" w:lineRule="exact"/>
              <w:rPr>
                <w:rFonts w:ascii="宋体" w:hAnsi="宋体" w:cs="宋体"/>
                <w:color w:val="auto"/>
                <w:sz w:val="24"/>
                <w:szCs w:val="24"/>
              </w:rPr>
            </w:pPr>
          </w:p>
        </w:tc>
        <w:tc>
          <w:tcPr>
            <w:tcW w:w="2680" w:type="dxa"/>
            <w:vAlign w:val="center"/>
          </w:tcPr>
          <w:p>
            <w:pPr>
              <w:spacing w:after="0" w:line="560" w:lineRule="exact"/>
              <w:rPr>
                <w:rFonts w:ascii="宋体" w:hAnsi="宋体" w:cs="宋体"/>
                <w:color w:val="auto"/>
                <w:sz w:val="24"/>
                <w:szCs w:val="24"/>
              </w:rPr>
            </w:pPr>
          </w:p>
        </w:tc>
        <w:tc>
          <w:tcPr>
            <w:tcW w:w="1289" w:type="dxa"/>
            <w:vAlign w:val="center"/>
          </w:tcPr>
          <w:p>
            <w:pPr>
              <w:spacing w:after="0" w:line="560" w:lineRule="exact"/>
              <w:rPr>
                <w:rFonts w:ascii="宋体" w:hAnsi="宋体" w:cs="宋体"/>
                <w:color w:val="auto"/>
                <w:sz w:val="24"/>
                <w:szCs w:val="24"/>
              </w:rPr>
            </w:pPr>
          </w:p>
        </w:tc>
        <w:tc>
          <w:tcPr>
            <w:tcW w:w="1315" w:type="dxa"/>
            <w:vAlign w:val="center"/>
          </w:tcPr>
          <w:p>
            <w:pPr>
              <w:spacing w:after="0" w:line="56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7" w:type="dxa"/>
            <w:gridSpan w:val="7"/>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项目需求书（项目需求书要求须逐条应答）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序号</w:t>
            </w:r>
          </w:p>
        </w:tc>
        <w:tc>
          <w:tcPr>
            <w:tcW w:w="1039"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采购项名称</w:t>
            </w:r>
          </w:p>
        </w:tc>
        <w:tc>
          <w:tcPr>
            <w:tcW w:w="851"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条款</w:t>
            </w:r>
          </w:p>
          <w:p>
            <w:pPr>
              <w:spacing w:after="0" w:line="560" w:lineRule="exact"/>
              <w:rPr>
                <w:rFonts w:ascii="宋体" w:hAnsi="宋体" w:cs="宋体"/>
                <w:color w:val="auto"/>
                <w:sz w:val="24"/>
                <w:szCs w:val="24"/>
              </w:rPr>
            </w:pPr>
            <w:r>
              <w:rPr>
                <w:rFonts w:hint="eastAsia" w:ascii="宋体" w:hAnsi="宋体" w:cs="宋体"/>
                <w:color w:val="auto"/>
                <w:sz w:val="24"/>
                <w:szCs w:val="24"/>
              </w:rPr>
              <w:t>序号</w:t>
            </w:r>
          </w:p>
        </w:tc>
        <w:tc>
          <w:tcPr>
            <w:tcW w:w="1790"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招标要求</w:t>
            </w:r>
          </w:p>
        </w:tc>
        <w:tc>
          <w:tcPr>
            <w:tcW w:w="2680"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投标应答</w:t>
            </w:r>
          </w:p>
        </w:tc>
        <w:tc>
          <w:tcPr>
            <w:tcW w:w="1289"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偏离</w:t>
            </w:r>
          </w:p>
          <w:p>
            <w:pPr>
              <w:spacing w:after="0" w:line="560" w:lineRule="exact"/>
              <w:rPr>
                <w:rFonts w:ascii="宋体" w:hAnsi="宋体" w:cs="宋体"/>
                <w:color w:val="auto"/>
                <w:sz w:val="24"/>
                <w:szCs w:val="24"/>
              </w:rPr>
            </w:pPr>
            <w:r>
              <w:rPr>
                <w:rFonts w:hint="eastAsia" w:ascii="宋体" w:hAnsi="宋体" w:cs="宋体"/>
                <w:color w:val="auto"/>
                <w:sz w:val="24"/>
                <w:szCs w:val="24"/>
              </w:rPr>
              <w:t>说明</w:t>
            </w:r>
          </w:p>
        </w:tc>
        <w:tc>
          <w:tcPr>
            <w:tcW w:w="1315"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技术支撑材料所在页码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560" w:lineRule="exact"/>
              <w:rPr>
                <w:rFonts w:ascii="宋体" w:hAnsi="宋体" w:cs="宋体"/>
                <w:color w:val="auto"/>
                <w:sz w:val="24"/>
                <w:szCs w:val="24"/>
              </w:rPr>
            </w:pPr>
          </w:p>
        </w:tc>
        <w:tc>
          <w:tcPr>
            <w:tcW w:w="1039" w:type="dxa"/>
            <w:vAlign w:val="center"/>
          </w:tcPr>
          <w:p>
            <w:pPr>
              <w:spacing w:after="0" w:line="560" w:lineRule="exact"/>
              <w:rPr>
                <w:rFonts w:ascii="宋体" w:hAnsi="宋体" w:cs="宋体"/>
                <w:color w:val="auto"/>
                <w:sz w:val="24"/>
                <w:szCs w:val="24"/>
              </w:rPr>
            </w:pPr>
          </w:p>
        </w:tc>
        <w:tc>
          <w:tcPr>
            <w:tcW w:w="851" w:type="dxa"/>
            <w:vAlign w:val="center"/>
          </w:tcPr>
          <w:p>
            <w:pPr>
              <w:spacing w:after="0" w:line="560" w:lineRule="exact"/>
              <w:rPr>
                <w:rFonts w:ascii="宋体" w:hAnsi="宋体" w:cs="宋体"/>
                <w:color w:val="auto"/>
                <w:sz w:val="24"/>
                <w:szCs w:val="24"/>
              </w:rPr>
            </w:pPr>
          </w:p>
        </w:tc>
        <w:tc>
          <w:tcPr>
            <w:tcW w:w="1790" w:type="dxa"/>
            <w:vAlign w:val="center"/>
          </w:tcPr>
          <w:p>
            <w:pPr>
              <w:spacing w:after="0" w:line="560" w:lineRule="exact"/>
              <w:rPr>
                <w:rFonts w:ascii="宋体" w:hAnsi="宋体" w:cs="宋体"/>
                <w:color w:val="auto"/>
                <w:sz w:val="24"/>
                <w:szCs w:val="24"/>
              </w:rPr>
            </w:pPr>
          </w:p>
        </w:tc>
        <w:tc>
          <w:tcPr>
            <w:tcW w:w="2680" w:type="dxa"/>
            <w:vAlign w:val="center"/>
          </w:tcPr>
          <w:p>
            <w:pPr>
              <w:spacing w:after="0" w:line="560" w:lineRule="exact"/>
              <w:rPr>
                <w:rFonts w:ascii="宋体" w:hAnsi="宋体" w:cs="宋体"/>
                <w:color w:val="auto"/>
                <w:sz w:val="24"/>
                <w:szCs w:val="24"/>
              </w:rPr>
            </w:pPr>
          </w:p>
        </w:tc>
        <w:tc>
          <w:tcPr>
            <w:tcW w:w="1289" w:type="dxa"/>
            <w:vAlign w:val="center"/>
          </w:tcPr>
          <w:p>
            <w:pPr>
              <w:spacing w:after="0" w:line="560" w:lineRule="exact"/>
              <w:rPr>
                <w:rFonts w:ascii="宋体" w:hAnsi="宋体" w:cs="宋体"/>
                <w:color w:val="auto"/>
                <w:sz w:val="24"/>
                <w:szCs w:val="24"/>
              </w:rPr>
            </w:pPr>
          </w:p>
        </w:tc>
        <w:tc>
          <w:tcPr>
            <w:tcW w:w="1315" w:type="dxa"/>
            <w:vAlign w:val="center"/>
          </w:tcPr>
          <w:p>
            <w:pPr>
              <w:spacing w:after="0" w:line="560" w:lineRule="exact"/>
              <w:rPr>
                <w:rFonts w:ascii="宋体" w:hAnsi="宋体" w:cs="宋体"/>
                <w:color w:val="auto"/>
                <w:sz w:val="24"/>
                <w:szCs w:val="24"/>
              </w:rPr>
            </w:pPr>
          </w:p>
        </w:tc>
      </w:tr>
    </w:tbl>
    <w:p>
      <w:pPr>
        <w:spacing w:after="0" w:line="440" w:lineRule="exact"/>
        <w:ind w:left="-434" w:leftChars="-210" w:hanging="2"/>
        <w:rPr>
          <w:rFonts w:ascii="宋体" w:hAnsi="宋体" w:cs="宋体"/>
          <w:color w:val="auto"/>
          <w:sz w:val="24"/>
          <w:szCs w:val="24"/>
        </w:rPr>
      </w:pPr>
      <w:r>
        <w:rPr>
          <w:rFonts w:hint="eastAsia" w:ascii="宋体" w:hAnsi="宋体" w:cs="宋体"/>
          <w:color w:val="auto"/>
          <w:sz w:val="24"/>
          <w:szCs w:val="24"/>
        </w:rPr>
        <w:t>注：1. 不如实填写偏离情况的投标文件将视为虚假材料。</w:t>
      </w:r>
    </w:p>
    <w:p>
      <w:pPr>
        <w:spacing w:after="0" w:line="440" w:lineRule="exact"/>
        <w:rPr>
          <w:rFonts w:ascii="宋体" w:hAnsi="宋体" w:cs="宋体"/>
          <w:color w:val="auto"/>
          <w:sz w:val="24"/>
          <w:szCs w:val="24"/>
        </w:rPr>
      </w:pPr>
      <w:r>
        <w:rPr>
          <w:rFonts w:hint="eastAsia" w:ascii="宋体" w:hAnsi="宋体" w:cs="宋体"/>
          <w:color w:val="auto"/>
          <w:sz w:val="24"/>
          <w:szCs w:val="24"/>
        </w:rPr>
        <w:t>2. 招标要求指招标文件中规定的具体要求，投标应答指投标文件的具体内容。</w:t>
      </w:r>
    </w:p>
    <w:p>
      <w:pPr>
        <w:spacing w:after="0" w:line="440" w:lineRule="exact"/>
        <w:rPr>
          <w:rFonts w:ascii="宋体" w:hAnsi="宋体" w:cs="宋体"/>
          <w:color w:val="auto"/>
          <w:sz w:val="24"/>
          <w:szCs w:val="24"/>
        </w:rPr>
      </w:pPr>
      <w:r>
        <w:rPr>
          <w:rFonts w:hint="eastAsia" w:ascii="宋体" w:hAnsi="宋体" w:cs="宋体"/>
          <w:color w:val="auto"/>
          <w:sz w:val="24"/>
          <w:szCs w:val="24"/>
        </w:rPr>
        <w:t>3. 偏离说明指招标要求与投标应答之间的不同之处。</w:t>
      </w:r>
    </w:p>
    <w:p>
      <w:pPr>
        <w:spacing w:after="0" w:line="440" w:lineRule="exact"/>
        <w:rPr>
          <w:rFonts w:ascii="宋体" w:hAnsi="宋体" w:cs="宋体"/>
          <w:color w:val="auto"/>
          <w:sz w:val="24"/>
          <w:szCs w:val="24"/>
        </w:rPr>
      </w:pPr>
      <w:r>
        <w:rPr>
          <w:rFonts w:hint="eastAsia" w:ascii="宋体" w:hAnsi="宋体" w:cs="宋体"/>
          <w:color w:val="auto"/>
          <w:sz w:val="24"/>
          <w:szCs w:val="24"/>
        </w:rPr>
        <w:t xml:space="preserve">4. </w:t>
      </w:r>
      <w:r>
        <w:rPr>
          <w:rFonts w:hint="eastAsia" w:ascii="宋体" w:hAnsi="宋体" w:cs="宋体"/>
          <w:color w:val="auto"/>
          <w:sz w:val="24"/>
          <w:szCs w:val="24"/>
          <w:lang w:eastAsia="zh-CN"/>
        </w:rPr>
        <w:t>供应商</w:t>
      </w:r>
      <w:r>
        <w:rPr>
          <w:rFonts w:hint="eastAsia" w:ascii="宋体" w:hAnsi="宋体" w:cs="宋体"/>
          <w:color w:val="auto"/>
          <w:sz w:val="24"/>
          <w:szCs w:val="24"/>
        </w:rPr>
        <w:t>在上表“项目需求书要求”的投标应答中必须列出具体数值或内容。如</w:t>
      </w:r>
      <w:r>
        <w:rPr>
          <w:rFonts w:hint="eastAsia" w:ascii="宋体" w:hAnsi="宋体" w:cs="宋体"/>
          <w:color w:val="auto"/>
          <w:sz w:val="24"/>
          <w:szCs w:val="24"/>
          <w:lang w:eastAsia="zh-CN"/>
        </w:rPr>
        <w:t>供应商</w:t>
      </w:r>
      <w:r>
        <w:rPr>
          <w:rFonts w:hint="eastAsia" w:ascii="宋体" w:hAnsi="宋体" w:cs="宋体"/>
          <w:color w:val="auto"/>
          <w:sz w:val="24"/>
          <w:szCs w:val="24"/>
        </w:rPr>
        <w:t>未应答或只注明“符合”、“满足”等类似无具体内容的表述，将被视为不符合招标文件要求。</w:t>
      </w:r>
      <w:r>
        <w:rPr>
          <w:rFonts w:hint="eastAsia" w:ascii="宋体" w:hAnsi="宋体" w:cs="宋体"/>
          <w:color w:val="auto"/>
          <w:sz w:val="24"/>
          <w:szCs w:val="24"/>
          <w:lang w:eastAsia="zh-CN"/>
        </w:rPr>
        <w:t>供应商</w:t>
      </w:r>
      <w:r>
        <w:rPr>
          <w:rFonts w:hint="eastAsia" w:ascii="宋体" w:hAnsi="宋体" w:cs="宋体"/>
          <w:color w:val="auto"/>
          <w:sz w:val="24"/>
          <w:szCs w:val="24"/>
        </w:rPr>
        <w:t>自行承担由此造成的一切后果。</w:t>
      </w:r>
    </w:p>
    <w:p>
      <w:pPr>
        <w:spacing w:after="0" w:line="560" w:lineRule="exact"/>
        <w:rPr>
          <w:rFonts w:ascii="宋体" w:hAnsi="宋体" w:cs="宋体"/>
          <w:color w:val="auto"/>
          <w:sz w:val="24"/>
          <w:szCs w:val="24"/>
        </w:rPr>
      </w:pPr>
    </w:p>
    <w:p>
      <w:pPr>
        <w:spacing w:after="0" w:line="560" w:lineRule="exact"/>
        <w:jc w:val="right"/>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代表签字：_______________</w:t>
      </w:r>
    </w:p>
    <w:p>
      <w:pPr>
        <w:spacing w:after="0" w:line="560" w:lineRule="exact"/>
        <w:jc w:val="right"/>
        <w:rPr>
          <w:rFonts w:ascii="宋体" w:hAnsi="宋体" w:cs="宋体"/>
          <w:color w:val="auto"/>
          <w:sz w:val="24"/>
          <w:szCs w:val="24"/>
        </w:rPr>
      </w:pPr>
      <w:r>
        <w:rPr>
          <w:rFonts w:hint="eastAsia" w:ascii="宋体" w:hAnsi="宋体" w:cs="宋体"/>
          <w:color w:val="auto"/>
          <w:sz w:val="24"/>
          <w:szCs w:val="24"/>
        </w:rPr>
        <w:t>职务：_________日期：__________</w:t>
      </w:r>
    </w:p>
    <w:p>
      <w:pPr>
        <w:spacing w:after="0" w:line="560" w:lineRule="exact"/>
        <w:jc w:val="right"/>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名称（公章）：_____________</w:t>
      </w:r>
    </w:p>
    <w:p>
      <w:pPr>
        <w:spacing w:after="0" w:line="560" w:lineRule="exact"/>
        <w:rPr>
          <w:rFonts w:ascii="宋体" w:hAnsi="宋体" w:cs="宋体"/>
          <w:b/>
          <w:color w:val="auto"/>
          <w:sz w:val="24"/>
          <w:szCs w:val="24"/>
        </w:rPr>
      </w:pPr>
      <w:r>
        <w:rPr>
          <w:rFonts w:hint="eastAsia" w:ascii="宋体" w:hAnsi="宋体" w:cs="宋体"/>
          <w:color w:val="auto"/>
          <w:sz w:val="24"/>
          <w:szCs w:val="24"/>
        </w:rPr>
        <w:br w:type="page"/>
      </w:r>
      <w:r>
        <w:rPr>
          <w:rFonts w:hint="eastAsia" w:ascii="宋体" w:hAnsi="宋体" w:cs="宋体"/>
          <w:b/>
          <w:color w:val="auto"/>
          <w:sz w:val="24"/>
          <w:szCs w:val="24"/>
        </w:rPr>
        <w:t>附件10</w:t>
      </w:r>
    </w:p>
    <w:p>
      <w:pPr>
        <w:spacing w:after="0" w:line="560" w:lineRule="exact"/>
        <w:jc w:val="center"/>
        <w:rPr>
          <w:rFonts w:ascii="宋体" w:hAnsi="宋体" w:cs="宋体"/>
          <w:b/>
          <w:color w:val="auto"/>
          <w:sz w:val="24"/>
          <w:szCs w:val="24"/>
        </w:rPr>
      </w:pPr>
      <w:r>
        <w:rPr>
          <w:rFonts w:hint="eastAsia" w:ascii="宋体" w:hAnsi="宋体" w:cs="宋体"/>
          <w:b/>
          <w:color w:val="auto"/>
          <w:sz w:val="24"/>
          <w:szCs w:val="24"/>
        </w:rPr>
        <w:t>主要相关业绩一览表</w:t>
      </w:r>
    </w:p>
    <w:p>
      <w:pPr>
        <w:spacing w:after="0" w:line="560" w:lineRule="exact"/>
        <w:rPr>
          <w:rFonts w:ascii="宋体" w:hAnsi="宋体" w:cs="宋体"/>
          <w:color w:val="auto"/>
          <w:sz w:val="24"/>
          <w:szCs w:val="24"/>
        </w:rPr>
      </w:pPr>
      <w:r>
        <w:rPr>
          <w:rFonts w:hint="eastAsia" w:ascii="宋体" w:hAnsi="宋体" w:cs="宋体"/>
          <w:color w:val="auto"/>
          <w:sz w:val="24"/>
          <w:szCs w:val="24"/>
        </w:rPr>
        <w:t>项目名称：</w:t>
      </w:r>
    </w:p>
    <w:p>
      <w:pPr>
        <w:spacing w:after="0" w:line="560" w:lineRule="exact"/>
        <w:rPr>
          <w:rFonts w:ascii="宋体" w:hAnsi="宋体" w:cs="宋体"/>
          <w:color w:val="auto"/>
          <w:sz w:val="24"/>
          <w:szCs w:val="24"/>
        </w:rPr>
      </w:pPr>
      <w:r>
        <w:rPr>
          <w:rFonts w:hint="eastAsia" w:ascii="宋体" w:hAnsi="宋体" w:cs="宋体"/>
          <w:color w:val="auto"/>
          <w:sz w:val="24"/>
          <w:szCs w:val="24"/>
        </w:rPr>
        <w:t>项目编号：</w:t>
      </w:r>
    </w:p>
    <w:tbl>
      <w:tblPr>
        <w:tblStyle w:val="30"/>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600"/>
        <w:gridCol w:w="1183"/>
        <w:gridCol w:w="1195"/>
        <w:gridCol w:w="1585"/>
        <w:gridCol w:w="1052"/>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序号</w:t>
            </w:r>
          </w:p>
        </w:tc>
        <w:tc>
          <w:tcPr>
            <w:tcW w:w="1600"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用户单位名称</w:t>
            </w:r>
          </w:p>
        </w:tc>
        <w:tc>
          <w:tcPr>
            <w:tcW w:w="1183"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项目内容</w:t>
            </w:r>
          </w:p>
        </w:tc>
        <w:tc>
          <w:tcPr>
            <w:tcW w:w="1195"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实施地点</w:t>
            </w:r>
          </w:p>
        </w:tc>
        <w:tc>
          <w:tcPr>
            <w:tcW w:w="1585"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用户联系人及联系方式</w:t>
            </w:r>
          </w:p>
        </w:tc>
        <w:tc>
          <w:tcPr>
            <w:tcW w:w="1052"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项目起止时间</w:t>
            </w:r>
          </w:p>
        </w:tc>
        <w:tc>
          <w:tcPr>
            <w:tcW w:w="1195" w:type="dxa"/>
            <w:vAlign w:val="center"/>
          </w:tcPr>
          <w:p>
            <w:pPr>
              <w:spacing w:after="0" w:line="560" w:lineRule="exact"/>
              <w:rPr>
                <w:rFonts w:ascii="宋体" w:hAnsi="宋体" w:cs="宋体"/>
                <w:color w:val="auto"/>
                <w:sz w:val="24"/>
                <w:szCs w:val="24"/>
              </w:rPr>
            </w:pPr>
            <w:r>
              <w:rPr>
                <w:rFonts w:hint="eastAsia" w:ascii="宋体" w:hAnsi="宋体" w:cs="宋体"/>
                <w:color w:val="auto"/>
                <w:sz w:val="24"/>
                <w:szCs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spacing w:after="0" w:line="560" w:lineRule="exact"/>
              <w:rPr>
                <w:rFonts w:ascii="宋体" w:hAnsi="宋体" w:cs="宋体"/>
                <w:color w:val="auto"/>
                <w:sz w:val="24"/>
                <w:szCs w:val="24"/>
              </w:rPr>
            </w:pPr>
          </w:p>
        </w:tc>
        <w:tc>
          <w:tcPr>
            <w:tcW w:w="1600" w:type="dxa"/>
            <w:vAlign w:val="center"/>
          </w:tcPr>
          <w:p>
            <w:pPr>
              <w:spacing w:after="0" w:line="560" w:lineRule="exact"/>
              <w:rPr>
                <w:rFonts w:ascii="宋体" w:hAnsi="宋体" w:cs="宋体"/>
                <w:color w:val="auto"/>
                <w:sz w:val="24"/>
                <w:szCs w:val="24"/>
              </w:rPr>
            </w:pPr>
          </w:p>
        </w:tc>
        <w:tc>
          <w:tcPr>
            <w:tcW w:w="1183" w:type="dxa"/>
            <w:vAlign w:val="center"/>
          </w:tcPr>
          <w:p>
            <w:pPr>
              <w:spacing w:after="0" w:line="560" w:lineRule="exact"/>
              <w:rPr>
                <w:rFonts w:ascii="宋体" w:hAnsi="宋体" w:cs="宋体"/>
                <w:color w:val="auto"/>
                <w:sz w:val="24"/>
                <w:szCs w:val="24"/>
              </w:rPr>
            </w:pPr>
          </w:p>
        </w:tc>
        <w:tc>
          <w:tcPr>
            <w:tcW w:w="1195" w:type="dxa"/>
            <w:vAlign w:val="center"/>
          </w:tcPr>
          <w:p>
            <w:pPr>
              <w:spacing w:after="0" w:line="560" w:lineRule="exact"/>
              <w:rPr>
                <w:rFonts w:ascii="宋体" w:hAnsi="宋体" w:cs="宋体"/>
                <w:color w:val="auto"/>
                <w:sz w:val="24"/>
                <w:szCs w:val="24"/>
              </w:rPr>
            </w:pPr>
          </w:p>
        </w:tc>
        <w:tc>
          <w:tcPr>
            <w:tcW w:w="1585" w:type="dxa"/>
            <w:vAlign w:val="center"/>
          </w:tcPr>
          <w:p>
            <w:pPr>
              <w:spacing w:after="0" w:line="560" w:lineRule="exact"/>
              <w:rPr>
                <w:rFonts w:ascii="宋体" w:hAnsi="宋体" w:cs="宋体"/>
                <w:color w:val="auto"/>
                <w:sz w:val="24"/>
                <w:szCs w:val="24"/>
              </w:rPr>
            </w:pPr>
          </w:p>
        </w:tc>
        <w:tc>
          <w:tcPr>
            <w:tcW w:w="1052" w:type="dxa"/>
            <w:vAlign w:val="center"/>
          </w:tcPr>
          <w:p>
            <w:pPr>
              <w:spacing w:after="0" w:line="560" w:lineRule="exact"/>
              <w:rPr>
                <w:rFonts w:ascii="宋体" w:hAnsi="宋体" w:cs="宋体"/>
                <w:color w:val="auto"/>
                <w:sz w:val="24"/>
                <w:szCs w:val="24"/>
              </w:rPr>
            </w:pPr>
          </w:p>
        </w:tc>
        <w:tc>
          <w:tcPr>
            <w:tcW w:w="1195" w:type="dxa"/>
            <w:vAlign w:val="center"/>
          </w:tcPr>
          <w:p>
            <w:pPr>
              <w:spacing w:after="0" w:line="56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spacing w:after="0" w:line="560" w:lineRule="exact"/>
              <w:rPr>
                <w:rFonts w:ascii="宋体" w:hAnsi="宋体" w:cs="宋体"/>
                <w:color w:val="auto"/>
                <w:sz w:val="24"/>
                <w:szCs w:val="24"/>
              </w:rPr>
            </w:pPr>
          </w:p>
        </w:tc>
        <w:tc>
          <w:tcPr>
            <w:tcW w:w="1600" w:type="dxa"/>
            <w:vAlign w:val="center"/>
          </w:tcPr>
          <w:p>
            <w:pPr>
              <w:spacing w:after="0" w:line="560" w:lineRule="exact"/>
              <w:rPr>
                <w:rFonts w:ascii="宋体" w:hAnsi="宋体" w:cs="宋体"/>
                <w:color w:val="auto"/>
                <w:sz w:val="24"/>
                <w:szCs w:val="24"/>
              </w:rPr>
            </w:pPr>
          </w:p>
        </w:tc>
        <w:tc>
          <w:tcPr>
            <w:tcW w:w="1183" w:type="dxa"/>
            <w:vAlign w:val="center"/>
          </w:tcPr>
          <w:p>
            <w:pPr>
              <w:spacing w:after="0" w:line="560" w:lineRule="exact"/>
              <w:rPr>
                <w:rFonts w:ascii="宋体" w:hAnsi="宋体" w:cs="宋体"/>
                <w:color w:val="auto"/>
                <w:sz w:val="24"/>
                <w:szCs w:val="24"/>
              </w:rPr>
            </w:pPr>
          </w:p>
        </w:tc>
        <w:tc>
          <w:tcPr>
            <w:tcW w:w="1195" w:type="dxa"/>
            <w:vAlign w:val="center"/>
          </w:tcPr>
          <w:p>
            <w:pPr>
              <w:spacing w:after="0" w:line="560" w:lineRule="exact"/>
              <w:rPr>
                <w:rFonts w:ascii="宋体" w:hAnsi="宋体" w:cs="宋体"/>
                <w:color w:val="auto"/>
                <w:sz w:val="24"/>
                <w:szCs w:val="24"/>
              </w:rPr>
            </w:pPr>
          </w:p>
        </w:tc>
        <w:tc>
          <w:tcPr>
            <w:tcW w:w="1585" w:type="dxa"/>
            <w:vAlign w:val="center"/>
          </w:tcPr>
          <w:p>
            <w:pPr>
              <w:spacing w:after="0" w:line="560" w:lineRule="exact"/>
              <w:rPr>
                <w:rFonts w:ascii="宋体" w:hAnsi="宋体" w:cs="宋体"/>
                <w:color w:val="auto"/>
                <w:sz w:val="24"/>
                <w:szCs w:val="24"/>
              </w:rPr>
            </w:pPr>
          </w:p>
        </w:tc>
        <w:tc>
          <w:tcPr>
            <w:tcW w:w="1052" w:type="dxa"/>
            <w:vAlign w:val="center"/>
          </w:tcPr>
          <w:p>
            <w:pPr>
              <w:spacing w:after="0" w:line="560" w:lineRule="exact"/>
              <w:rPr>
                <w:rFonts w:ascii="宋体" w:hAnsi="宋体" w:cs="宋体"/>
                <w:color w:val="auto"/>
                <w:sz w:val="24"/>
                <w:szCs w:val="24"/>
              </w:rPr>
            </w:pPr>
          </w:p>
        </w:tc>
        <w:tc>
          <w:tcPr>
            <w:tcW w:w="1195" w:type="dxa"/>
            <w:vAlign w:val="center"/>
          </w:tcPr>
          <w:p>
            <w:pPr>
              <w:spacing w:after="0" w:line="56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spacing w:after="0" w:line="560" w:lineRule="exact"/>
              <w:rPr>
                <w:rFonts w:ascii="宋体" w:hAnsi="宋体" w:cs="宋体"/>
                <w:color w:val="auto"/>
                <w:sz w:val="24"/>
                <w:szCs w:val="24"/>
              </w:rPr>
            </w:pPr>
          </w:p>
        </w:tc>
        <w:tc>
          <w:tcPr>
            <w:tcW w:w="1600" w:type="dxa"/>
            <w:vAlign w:val="center"/>
          </w:tcPr>
          <w:p>
            <w:pPr>
              <w:spacing w:after="0" w:line="560" w:lineRule="exact"/>
              <w:rPr>
                <w:rFonts w:ascii="宋体" w:hAnsi="宋体" w:cs="宋体"/>
                <w:color w:val="auto"/>
                <w:sz w:val="24"/>
                <w:szCs w:val="24"/>
              </w:rPr>
            </w:pPr>
          </w:p>
        </w:tc>
        <w:tc>
          <w:tcPr>
            <w:tcW w:w="1183" w:type="dxa"/>
            <w:vAlign w:val="center"/>
          </w:tcPr>
          <w:p>
            <w:pPr>
              <w:spacing w:after="0" w:line="560" w:lineRule="exact"/>
              <w:rPr>
                <w:rFonts w:ascii="宋体" w:hAnsi="宋体" w:cs="宋体"/>
                <w:color w:val="auto"/>
                <w:sz w:val="24"/>
                <w:szCs w:val="24"/>
              </w:rPr>
            </w:pPr>
          </w:p>
        </w:tc>
        <w:tc>
          <w:tcPr>
            <w:tcW w:w="1195" w:type="dxa"/>
            <w:vAlign w:val="center"/>
          </w:tcPr>
          <w:p>
            <w:pPr>
              <w:spacing w:after="0" w:line="560" w:lineRule="exact"/>
              <w:rPr>
                <w:rFonts w:ascii="宋体" w:hAnsi="宋体" w:cs="宋体"/>
                <w:color w:val="auto"/>
                <w:sz w:val="24"/>
                <w:szCs w:val="24"/>
              </w:rPr>
            </w:pPr>
          </w:p>
        </w:tc>
        <w:tc>
          <w:tcPr>
            <w:tcW w:w="1585" w:type="dxa"/>
            <w:vAlign w:val="center"/>
          </w:tcPr>
          <w:p>
            <w:pPr>
              <w:spacing w:after="0" w:line="560" w:lineRule="exact"/>
              <w:rPr>
                <w:rFonts w:ascii="宋体" w:hAnsi="宋体" w:cs="宋体"/>
                <w:color w:val="auto"/>
                <w:sz w:val="24"/>
                <w:szCs w:val="24"/>
              </w:rPr>
            </w:pPr>
          </w:p>
        </w:tc>
        <w:tc>
          <w:tcPr>
            <w:tcW w:w="1052" w:type="dxa"/>
            <w:vAlign w:val="center"/>
          </w:tcPr>
          <w:p>
            <w:pPr>
              <w:spacing w:after="0" w:line="560" w:lineRule="exact"/>
              <w:rPr>
                <w:rFonts w:ascii="宋体" w:hAnsi="宋体" w:cs="宋体"/>
                <w:color w:val="auto"/>
                <w:sz w:val="24"/>
                <w:szCs w:val="24"/>
              </w:rPr>
            </w:pPr>
          </w:p>
        </w:tc>
        <w:tc>
          <w:tcPr>
            <w:tcW w:w="1195" w:type="dxa"/>
            <w:vAlign w:val="center"/>
          </w:tcPr>
          <w:p>
            <w:pPr>
              <w:spacing w:after="0" w:line="56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spacing w:after="0" w:line="560" w:lineRule="exact"/>
              <w:rPr>
                <w:rFonts w:ascii="宋体" w:hAnsi="宋体" w:cs="宋体"/>
                <w:color w:val="auto"/>
                <w:sz w:val="24"/>
                <w:szCs w:val="24"/>
              </w:rPr>
            </w:pPr>
          </w:p>
        </w:tc>
        <w:tc>
          <w:tcPr>
            <w:tcW w:w="1600" w:type="dxa"/>
            <w:vAlign w:val="center"/>
          </w:tcPr>
          <w:p>
            <w:pPr>
              <w:spacing w:after="0" w:line="560" w:lineRule="exact"/>
              <w:rPr>
                <w:rFonts w:ascii="宋体" w:hAnsi="宋体" w:cs="宋体"/>
                <w:color w:val="auto"/>
                <w:sz w:val="24"/>
                <w:szCs w:val="24"/>
              </w:rPr>
            </w:pPr>
          </w:p>
        </w:tc>
        <w:tc>
          <w:tcPr>
            <w:tcW w:w="1183" w:type="dxa"/>
            <w:vAlign w:val="center"/>
          </w:tcPr>
          <w:p>
            <w:pPr>
              <w:spacing w:after="0" w:line="560" w:lineRule="exact"/>
              <w:rPr>
                <w:rFonts w:ascii="宋体" w:hAnsi="宋体" w:cs="宋体"/>
                <w:color w:val="auto"/>
                <w:sz w:val="24"/>
                <w:szCs w:val="24"/>
              </w:rPr>
            </w:pPr>
          </w:p>
        </w:tc>
        <w:tc>
          <w:tcPr>
            <w:tcW w:w="1195" w:type="dxa"/>
            <w:vAlign w:val="center"/>
          </w:tcPr>
          <w:p>
            <w:pPr>
              <w:spacing w:after="0" w:line="560" w:lineRule="exact"/>
              <w:rPr>
                <w:rFonts w:ascii="宋体" w:hAnsi="宋体" w:cs="宋体"/>
                <w:color w:val="auto"/>
                <w:sz w:val="24"/>
                <w:szCs w:val="24"/>
              </w:rPr>
            </w:pPr>
          </w:p>
        </w:tc>
        <w:tc>
          <w:tcPr>
            <w:tcW w:w="1585" w:type="dxa"/>
            <w:vAlign w:val="center"/>
          </w:tcPr>
          <w:p>
            <w:pPr>
              <w:spacing w:after="0" w:line="560" w:lineRule="exact"/>
              <w:rPr>
                <w:rFonts w:ascii="宋体" w:hAnsi="宋体" w:cs="宋体"/>
                <w:color w:val="auto"/>
                <w:sz w:val="24"/>
                <w:szCs w:val="24"/>
              </w:rPr>
            </w:pPr>
          </w:p>
        </w:tc>
        <w:tc>
          <w:tcPr>
            <w:tcW w:w="1052" w:type="dxa"/>
            <w:vAlign w:val="center"/>
          </w:tcPr>
          <w:p>
            <w:pPr>
              <w:spacing w:after="0" w:line="560" w:lineRule="exact"/>
              <w:rPr>
                <w:rFonts w:ascii="宋体" w:hAnsi="宋体" w:cs="宋体"/>
                <w:color w:val="auto"/>
                <w:sz w:val="24"/>
                <w:szCs w:val="24"/>
              </w:rPr>
            </w:pPr>
          </w:p>
        </w:tc>
        <w:tc>
          <w:tcPr>
            <w:tcW w:w="1195" w:type="dxa"/>
            <w:vAlign w:val="center"/>
          </w:tcPr>
          <w:p>
            <w:pPr>
              <w:spacing w:after="0" w:line="560" w:lineRule="exact"/>
              <w:rPr>
                <w:rFonts w:ascii="宋体" w:hAnsi="宋体" w:cs="宋体"/>
                <w:color w:val="auto"/>
                <w:sz w:val="24"/>
                <w:szCs w:val="24"/>
              </w:rPr>
            </w:pPr>
          </w:p>
        </w:tc>
      </w:tr>
    </w:tbl>
    <w:p>
      <w:pPr>
        <w:spacing w:after="0" w:line="560" w:lineRule="exact"/>
        <w:rPr>
          <w:rFonts w:ascii="宋体" w:hAnsi="宋体" w:cs="宋体"/>
          <w:color w:val="auto"/>
          <w:sz w:val="24"/>
          <w:szCs w:val="24"/>
        </w:rPr>
      </w:pPr>
    </w:p>
    <w:p>
      <w:pPr>
        <w:spacing w:after="0" w:line="560" w:lineRule="exact"/>
        <w:rPr>
          <w:rFonts w:ascii="宋体" w:hAnsi="宋体" w:cs="宋体"/>
          <w:color w:val="auto"/>
          <w:sz w:val="24"/>
          <w:szCs w:val="24"/>
        </w:rPr>
      </w:pPr>
      <w:r>
        <w:rPr>
          <w:rFonts w:hint="eastAsia" w:ascii="宋体" w:hAnsi="宋体" w:cs="宋体"/>
          <w:color w:val="auto"/>
          <w:sz w:val="24"/>
          <w:szCs w:val="24"/>
        </w:rPr>
        <w:t>备注：若招标文件第二部分评分因素及评标标准中要求提供业绩的，</w:t>
      </w:r>
      <w:r>
        <w:rPr>
          <w:rFonts w:hint="eastAsia" w:ascii="宋体" w:hAnsi="宋体" w:cs="宋体"/>
          <w:color w:val="auto"/>
          <w:sz w:val="24"/>
          <w:szCs w:val="24"/>
          <w:lang w:eastAsia="zh-CN"/>
        </w:rPr>
        <w:t>供应商</w:t>
      </w:r>
      <w:r>
        <w:rPr>
          <w:rFonts w:hint="eastAsia" w:ascii="宋体" w:hAnsi="宋体" w:cs="宋体"/>
          <w:color w:val="auto"/>
          <w:sz w:val="24"/>
          <w:szCs w:val="24"/>
        </w:rPr>
        <w:t>所列业绩应按其要求将证明材料按顺序附后。</w:t>
      </w:r>
    </w:p>
    <w:p>
      <w:pPr>
        <w:spacing w:after="0" w:line="560" w:lineRule="exact"/>
        <w:rPr>
          <w:rFonts w:ascii="宋体" w:hAnsi="宋体" w:cs="宋体"/>
          <w:color w:val="auto"/>
          <w:sz w:val="24"/>
          <w:szCs w:val="24"/>
        </w:rPr>
      </w:pPr>
    </w:p>
    <w:p>
      <w:pPr>
        <w:spacing w:after="0" w:line="560" w:lineRule="exact"/>
        <w:jc w:val="right"/>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代表签字：_______________</w:t>
      </w:r>
    </w:p>
    <w:p>
      <w:pPr>
        <w:spacing w:after="0" w:line="560" w:lineRule="exact"/>
        <w:jc w:val="right"/>
        <w:rPr>
          <w:rFonts w:ascii="宋体" w:hAnsi="宋体" w:cs="宋体"/>
          <w:color w:val="auto"/>
          <w:sz w:val="24"/>
          <w:szCs w:val="24"/>
        </w:rPr>
      </w:pPr>
      <w:r>
        <w:rPr>
          <w:rFonts w:hint="eastAsia" w:ascii="宋体" w:hAnsi="宋体" w:cs="宋体"/>
          <w:color w:val="auto"/>
          <w:sz w:val="24"/>
          <w:szCs w:val="24"/>
        </w:rPr>
        <w:t xml:space="preserve">职务：_________日期：__________ </w:t>
      </w:r>
    </w:p>
    <w:p>
      <w:pPr>
        <w:spacing w:after="0" w:line="560" w:lineRule="exact"/>
        <w:jc w:val="right"/>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名称（公章）：_____________</w:t>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rPr>
          <w:rFonts w:ascii="宋体" w:hAnsi="宋体" w:cs="宋体"/>
          <w:b/>
          <w:color w:val="auto"/>
          <w:sz w:val="24"/>
          <w:szCs w:val="24"/>
        </w:rPr>
      </w:pPr>
      <w:r>
        <w:rPr>
          <w:rFonts w:hint="eastAsia" w:ascii="宋体" w:hAnsi="宋体" w:cs="宋体"/>
          <w:b/>
          <w:color w:val="auto"/>
          <w:sz w:val="24"/>
          <w:szCs w:val="24"/>
        </w:rPr>
        <w:t>附件11</w:t>
      </w:r>
    </w:p>
    <w:p>
      <w:pPr>
        <w:jc w:val="center"/>
        <w:rPr>
          <w:rFonts w:ascii="宋体" w:hAnsi="宋体" w:cs="宋体"/>
          <w:b/>
          <w:color w:val="auto"/>
          <w:sz w:val="24"/>
          <w:szCs w:val="24"/>
        </w:rPr>
      </w:pPr>
      <w:r>
        <w:rPr>
          <w:rFonts w:hint="eastAsia" w:ascii="宋体" w:hAnsi="宋体" w:cs="宋体"/>
          <w:b/>
          <w:color w:val="auto"/>
          <w:sz w:val="24"/>
          <w:szCs w:val="24"/>
        </w:rPr>
        <w:t>项目服务方案</w:t>
      </w:r>
    </w:p>
    <w:p>
      <w:pPr>
        <w:jc w:val="center"/>
        <w:rPr>
          <w:rFonts w:ascii="宋体" w:hAnsi="宋体" w:cs="宋体"/>
          <w:color w:val="auto"/>
          <w:sz w:val="24"/>
          <w:szCs w:val="24"/>
        </w:rPr>
      </w:pPr>
      <w:r>
        <w:rPr>
          <w:rFonts w:hint="eastAsia" w:ascii="宋体" w:hAnsi="宋体" w:cs="宋体"/>
          <w:color w:val="auto"/>
          <w:sz w:val="24"/>
          <w:szCs w:val="24"/>
        </w:rPr>
        <w:t>（由</w:t>
      </w:r>
      <w:r>
        <w:rPr>
          <w:rFonts w:hint="eastAsia" w:ascii="宋体" w:hAnsi="宋体" w:cs="宋体"/>
          <w:color w:val="auto"/>
          <w:sz w:val="24"/>
          <w:szCs w:val="24"/>
          <w:lang w:eastAsia="zh-CN"/>
        </w:rPr>
        <w:t>供应商</w:t>
      </w:r>
      <w:r>
        <w:rPr>
          <w:rFonts w:hint="eastAsia" w:ascii="宋体" w:hAnsi="宋体" w:cs="宋体"/>
          <w:color w:val="auto"/>
          <w:sz w:val="24"/>
          <w:szCs w:val="24"/>
        </w:rPr>
        <w:t>自行编制）</w:t>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ind w:firstLine="447" w:firstLineChars="196"/>
        <w:rPr>
          <w:rFonts w:ascii="宋体" w:hAnsi="宋体" w:cs="宋体"/>
          <w:color w:val="auto"/>
          <w:sz w:val="24"/>
          <w:szCs w:val="24"/>
        </w:rPr>
      </w:pPr>
      <w:r>
        <w:rPr>
          <w:rFonts w:hint="eastAsia" w:ascii="宋体" w:hAnsi="宋体" w:cs="宋体"/>
          <w:color w:val="auto"/>
          <w:sz w:val="24"/>
          <w:szCs w:val="24"/>
        </w:rPr>
        <w:t>注：本部分内容应包含但不限于本招标文件第二部分中“评分因素及评标标准”的内容。以便于评审专家审查与评分（如因应答条理不清所造成的不良后果由</w:t>
      </w:r>
      <w:r>
        <w:rPr>
          <w:rFonts w:hint="eastAsia" w:ascii="宋体" w:hAnsi="宋体" w:cs="宋体"/>
          <w:color w:val="auto"/>
          <w:sz w:val="24"/>
          <w:szCs w:val="24"/>
          <w:lang w:eastAsia="zh-CN"/>
        </w:rPr>
        <w:t>供应商</w:t>
      </w:r>
      <w:r>
        <w:rPr>
          <w:rFonts w:hint="eastAsia" w:ascii="宋体" w:hAnsi="宋体" w:cs="宋体"/>
          <w:color w:val="auto"/>
          <w:sz w:val="24"/>
          <w:szCs w:val="24"/>
        </w:rPr>
        <w:t>自行负责）。</w:t>
      </w:r>
    </w:p>
    <w:p>
      <w:pPr>
        <w:jc w:val="right"/>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代表签字：_______________</w:t>
      </w:r>
    </w:p>
    <w:p>
      <w:pPr>
        <w:jc w:val="right"/>
        <w:rPr>
          <w:rFonts w:ascii="宋体" w:hAnsi="宋体" w:cs="宋体"/>
          <w:color w:val="auto"/>
          <w:sz w:val="24"/>
          <w:szCs w:val="24"/>
        </w:rPr>
      </w:pPr>
      <w:r>
        <w:rPr>
          <w:rFonts w:hint="eastAsia" w:ascii="宋体" w:hAnsi="宋体" w:cs="宋体"/>
          <w:color w:val="auto"/>
          <w:sz w:val="24"/>
          <w:szCs w:val="24"/>
        </w:rPr>
        <w:t xml:space="preserve">职务：_________日期：__________ </w:t>
      </w:r>
    </w:p>
    <w:p>
      <w:pPr>
        <w:jc w:val="right"/>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名称（公章）：_____________</w:t>
      </w:r>
    </w:p>
    <w:p>
      <w:pPr>
        <w:rPr>
          <w:rFonts w:ascii="宋体" w:hAnsi="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tabs>
          <w:tab w:val="left" w:pos="360"/>
        </w:tabs>
        <w:spacing w:line="360" w:lineRule="auto"/>
        <w:rPr>
          <w:rFonts w:hint="default" w:ascii="宋体" w:hAnsi="宋体" w:eastAsia="宋体" w:cs="宋体"/>
          <w:color w:val="auto"/>
          <w:sz w:val="24"/>
          <w:lang w:val="en-US" w:eastAsia="zh-CN"/>
        </w:rPr>
      </w:pPr>
      <w:r>
        <w:rPr>
          <w:rFonts w:hint="eastAsia" w:ascii="宋体" w:hAnsi="宋体" w:eastAsia="宋体" w:cs="宋体"/>
          <w:b/>
          <w:color w:val="auto"/>
          <w:sz w:val="24"/>
          <w:szCs w:val="24"/>
        </w:rPr>
        <w:t>附件</w:t>
      </w:r>
      <w:r>
        <w:rPr>
          <w:rFonts w:hint="eastAsia" w:ascii="宋体" w:hAnsi="宋体" w:eastAsia="宋体" w:cs="宋体"/>
          <w:b/>
          <w:color w:val="auto"/>
          <w:sz w:val="24"/>
          <w:szCs w:val="24"/>
          <w:lang w:val="en-US" w:eastAsia="zh-CN"/>
        </w:rPr>
        <w:t>12</w:t>
      </w:r>
    </w:p>
    <w:p>
      <w:pPr>
        <w:autoSpaceDN w:val="0"/>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政府采购政策情况表</w:t>
      </w:r>
    </w:p>
    <w:p>
      <w:pPr>
        <w:spacing w:line="460" w:lineRule="exact"/>
        <w:rPr>
          <w:rFonts w:hint="eastAsia" w:ascii="宋体" w:hAnsi="宋体" w:eastAsia="宋体" w:cs="宋体"/>
          <w:color w:val="auto"/>
          <w:sz w:val="24"/>
        </w:rPr>
      </w:pPr>
      <w:r>
        <w:rPr>
          <w:rFonts w:hint="eastAsia" w:ascii="宋体" w:hAnsi="宋体" w:eastAsia="宋体" w:cs="宋体"/>
          <w:color w:val="auto"/>
          <w:sz w:val="24"/>
        </w:rPr>
        <w:t>项目名称：</w:t>
      </w:r>
    </w:p>
    <w:p>
      <w:pPr>
        <w:spacing w:line="460" w:lineRule="exact"/>
        <w:rPr>
          <w:rFonts w:hint="eastAsia" w:ascii="宋体" w:hAnsi="宋体" w:eastAsia="宋体" w:cs="宋体"/>
          <w:color w:val="auto"/>
          <w:sz w:val="24"/>
        </w:rPr>
      </w:pPr>
      <w:r>
        <w:rPr>
          <w:rFonts w:hint="eastAsia" w:ascii="宋体" w:hAnsi="宋体" w:eastAsia="宋体" w:cs="宋体"/>
          <w:color w:val="auto"/>
          <w:sz w:val="24"/>
        </w:rPr>
        <w:t>项目编号：</w:t>
      </w:r>
    </w:p>
    <w:tbl>
      <w:tblPr>
        <w:tblStyle w:val="30"/>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7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089" w:type="dxa"/>
            <w:gridSpan w:val="2"/>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如属所列情形的，请在括号内打“√”：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jc w:val="center"/>
        </w:trPr>
        <w:tc>
          <w:tcPr>
            <w:tcW w:w="1240" w:type="dxa"/>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中小企业</w:t>
            </w:r>
          </w:p>
        </w:tc>
        <w:tc>
          <w:tcPr>
            <w:tcW w:w="7849" w:type="dxa"/>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（）我公司为小型、微型企业，并由我公司向采购人提供服务，提供中小微企业声明函，该声明函见投标文件第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240" w:type="dxa"/>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监狱企业</w:t>
            </w:r>
          </w:p>
        </w:tc>
        <w:tc>
          <w:tcPr>
            <w:tcW w:w="7849" w:type="dxa"/>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（）我公司属于监狱企业，提供由省级以上监狱管理局、戒毒管理局（含新疆生产建设兵团）出具的属于监狱企业的证明文件。证明材料见投标文件第  至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240" w:type="dxa"/>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残疾人福利性单位</w:t>
            </w:r>
          </w:p>
        </w:tc>
        <w:tc>
          <w:tcPr>
            <w:tcW w:w="7849" w:type="dxa"/>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（）我公司属于残疾人福利性单位，提供《残疾人福利性单位声明函》，该声明函见投标文件第   页。</w:t>
            </w:r>
          </w:p>
        </w:tc>
      </w:tr>
    </w:tbl>
    <w:p>
      <w:pPr>
        <w:rPr>
          <w:rFonts w:hint="eastAsia" w:ascii="宋体" w:hAnsi="宋体" w:eastAsia="宋体" w:cs="宋体"/>
          <w:color w:val="auto"/>
          <w:sz w:val="24"/>
          <w:szCs w:val="24"/>
        </w:rPr>
      </w:pPr>
      <w:r>
        <w:rPr>
          <w:rFonts w:hint="eastAsia" w:ascii="宋体" w:hAnsi="宋体" w:eastAsia="宋体" w:cs="宋体"/>
          <w:color w:val="auto"/>
          <w:sz w:val="24"/>
          <w:szCs w:val="24"/>
        </w:rPr>
        <w:t>填报要求：</w:t>
      </w:r>
    </w:p>
    <w:p>
      <w:pPr>
        <w:rPr>
          <w:rFonts w:hint="eastAsia" w:ascii="宋体" w:hAnsi="宋体" w:eastAsia="宋体" w:cs="宋体"/>
          <w:color w:val="auto"/>
          <w:sz w:val="24"/>
          <w:szCs w:val="24"/>
        </w:rPr>
      </w:pPr>
      <w:r>
        <w:rPr>
          <w:rFonts w:hint="eastAsia" w:ascii="宋体" w:hAnsi="宋体" w:eastAsia="宋体" w:cs="宋体"/>
          <w:color w:val="auto"/>
          <w:sz w:val="24"/>
          <w:szCs w:val="24"/>
        </w:rPr>
        <w:t>1. 请</w:t>
      </w:r>
      <w:r>
        <w:rPr>
          <w:rFonts w:hint="eastAsia" w:ascii="宋体" w:hAnsi="宋体" w:cs="宋体"/>
          <w:color w:val="auto"/>
          <w:sz w:val="24"/>
          <w:szCs w:val="24"/>
          <w:lang w:eastAsia="zh-CN"/>
        </w:rPr>
        <w:t>供应商</w:t>
      </w:r>
      <w:r>
        <w:rPr>
          <w:rFonts w:hint="eastAsia" w:ascii="宋体" w:hAnsi="宋体" w:eastAsia="宋体" w:cs="宋体"/>
          <w:color w:val="auto"/>
          <w:sz w:val="24"/>
          <w:szCs w:val="24"/>
        </w:rPr>
        <w:t>正确填写本表，所填内容将作为评分的依据。其内容或数据应与对应的证明资料相符，如果填写不完整或有误，不再享受上述政策优惠。</w:t>
      </w:r>
    </w:p>
    <w:p>
      <w:pPr>
        <w:spacing w:line="360" w:lineRule="auto"/>
        <w:ind w:firstLine="3876" w:firstLineChars="1700"/>
        <w:rPr>
          <w:rFonts w:hint="eastAsia" w:ascii="宋体" w:hAnsi="宋体" w:eastAsia="宋体" w:cs="宋体"/>
          <w:color w:val="auto"/>
          <w:sz w:val="24"/>
        </w:rPr>
      </w:pPr>
    </w:p>
    <w:p>
      <w:pPr>
        <w:pStyle w:val="2"/>
        <w:rPr>
          <w:rFonts w:hint="eastAsia"/>
          <w:color w:val="auto"/>
        </w:rPr>
      </w:pPr>
    </w:p>
    <w:p>
      <w:pPr>
        <w:keepNext w:val="0"/>
        <w:keepLines w:val="0"/>
        <w:pageBreakBefore w:val="0"/>
        <w:widowControl/>
        <w:kinsoku/>
        <w:wordWrap/>
        <w:overflowPunct/>
        <w:topLinePunct w:val="0"/>
        <w:autoSpaceDE/>
        <w:autoSpaceDN/>
        <w:bidi w:val="0"/>
        <w:adjustRightInd/>
        <w:snapToGrid/>
        <w:spacing w:after="0" w:line="460" w:lineRule="exact"/>
        <w:ind w:left="193" w:firstLine="3751" w:firstLineChars="1645"/>
        <w:textAlignment w:val="auto"/>
        <w:rPr>
          <w:rFonts w:hint="eastAsia" w:ascii="宋体" w:hAnsi="宋体" w:eastAsia="宋体" w:cs="宋体"/>
          <w:color w:val="auto"/>
          <w:sz w:val="24"/>
        </w:rPr>
      </w:pPr>
      <w:r>
        <w:rPr>
          <w:rFonts w:hint="eastAsia" w:ascii="宋体" w:hAnsi="宋体" w:cs="宋体"/>
          <w:color w:val="auto"/>
          <w:sz w:val="24"/>
          <w:lang w:eastAsia="zh-CN"/>
        </w:rPr>
        <w:t>供应商</w:t>
      </w:r>
      <w:r>
        <w:rPr>
          <w:rFonts w:hint="eastAsia" w:ascii="宋体" w:hAnsi="宋体" w:eastAsia="宋体" w:cs="宋体"/>
          <w:color w:val="auto"/>
          <w:sz w:val="24"/>
        </w:rPr>
        <w:t>代表签字：_______________</w:t>
      </w:r>
    </w:p>
    <w:p>
      <w:pPr>
        <w:keepNext w:val="0"/>
        <w:keepLines w:val="0"/>
        <w:pageBreakBefore w:val="0"/>
        <w:widowControl/>
        <w:kinsoku/>
        <w:wordWrap/>
        <w:overflowPunct/>
        <w:topLinePunct w:val="0"/>
        <w:autoSpaceDE/>
        <w:autoSpaceDN/>
        <w:bidi w:val="0"/>
        <w:adjustRightInd/>
        <w:snapToGrid/>
        <w:spacing w:after="0" w:line="460" w:lineRule="exact"/>
        <w:ind w:left="193" w:firstLine="3751" w:firstLineChars="1645"/>
        <w:textAlignment w:val="auto"/>
        <w:rPr>
          <w:rFonts w:hint="eastAsia" w:ascii="宋体" w:hAnsi="宋体" w:eastAsia="宋体" w:cs="宋体"/>
          <w:color w:val="auto"/>
          <w:sz w:val="24"/>
        </w:rPr>
      </w:pPr>
    </w:p>
    <w:p>
      <w:pPr>
        <w:keepNext w:val="0"/>
        <w:keepLines w:val="0"/>
        <w:pageBreakBefore w:val="0"/>
        <w:widowControl/>
        <w:kinsoku/>
        <w:wordWrap/>
        <w:overflowPunct/>
        <w:topLinePunct w:val="0"/>
        <w:autoSpaceDE/>
        <w:autoSpaceDN/>
        <w:bidi w:val="0"/>
        <w:adjustRightInd/>
        <w:snapToGrid/>
        <w:spacing w:after="0" w:line="460" w:lineRule="exact"/>
        <w:ind w:left="193" w:firstLine="3751" w:firstLineChars="1645"/>
        <w:textAlignment w:val="auto"/>
        <w:rPr>
          <w:rFonts w:hint="eastAsia" w:ascii="宋体" w:hAnsi="宋体" w:eastAsia="宋体" w:cs="宋体"/>
          <w:color w:val="auto"/>
          <w:sz w:val="24"/>
        </w:rPr>
      </w:pPr>
      <w:r>
        <w:rPr>
          <w:rFonts w:hint="eastAsia" w:ascii="宋体" w:hAnsi="宋体" w:eastAsia="宋体" w:cs="宋体"/>
          <w:color w:val="auto"/>
          <w:sz w:val="24"/>
        </w:rPr>
        <w:t>职务：_________日期：__________</w:t>
      </w:r>
    </w:p>
    <w:p>
      <w:pPr>
        <w:keepNext w:val="0"/>
        <w:keepLines w:val="0"/>
        <w:pageBreakBefore w:val="0"/>
        <w:widowControl/>
        <w:kinsoku/>
        <w:wordWrap/>
        <w:overflowPunct/>
        <w:topLinePunct w:val="0"/>
        <w:autoSpaceDE/>
        <w:autoSpaceDN/>
        <w:bidi w:val="0"/>
        <w:adjustRightInd/>
        <w:snapToGrid/>
        <w:spacing w:after="0" w:line="460" w:lineRule="exact"/>
        <w:ind w:left="193" w:firstLine="3751" w:firstLineChars="1645"/>
        <w:textAlignment w:val="auto"/>
        <w:rPr>
          <w:rFonts w:hint="eastAsia" w:ascii="宋体" w:hAnsi="宋体" w:eastAsia="宋体" w:cs="宋体"/>
          <w:color w:val="auto"/>
          <w:sz w:val="24"/>
        </w:rPr>
      </w:pPr>
    </w:p>
    <w:p>
      <w:pPr>
        <w:keepNext w:val="0"/>
        <w:keepLines w:val="0"/>
        <w:pageBreakBefore w:val="0"/>
        <w:widowControl/>
        <w:kinsoku/>
        <w:wordWrap/>
        <w:overflowPunct/>
        <w:topLinePunct w:val="0"/>
        <w:autoSpaceDE/>
        <w:autoSpaceDN/>
        <w:bidi w:val="0"/>
        <w:adjustRightInd/>
        <w:snapToGrid/>
        <w:spacing w:after="0" w:line="460" w:lineRule="exact"/>
        <w:ind w:left="193" w:firstLine="3751" w:firstLineChars="1645"/>
        <w:textAlignment w:val="auto"/>
        <w:rPr>
          <w:rFonts w:hint="eastAsia" w:ascii="宋体" w:hAnsi="宋体" w:eastAsia="宋体" w:cs="宋体"/>
          <w:color w:val="auto"/>
          <w:sz w:val="24"/>
        </w:rPr>
      </w:pPr>
      <w:r>
        <w:rPr>
          <w:rFonts w:hint="eastAsia" w:ascii="宋体" w:hAnsi="宋体" w:cs="宋体"/>
          <w:color w:val="auto"/>
          <w:sz w:val="24"/>
          <w:lang w:eastAsia="zh-CN"/>
        </w:rPr>
        <w:t>供应商</w:t>
      </w:r>
      <w:r>
        <w:rPr>
          <w:rFonts w:hint="eastAsia" w:ascii="宋体" w:hAnsi="宋体" w:eastAsia="宋体" w:cs="宋体"/>
          <w:color w:val="auto"/>
          <w:sz w:val="24"/>
        </w:rPr>
        <w:t>名称（公章）：_____________</w:t>
      </w:r>
    </w:p>
    <w:p>
      <w:pPr>
        <w:rPr>
          <w:rFonts w:hint="eastAsia" w:ascii="宋体" w:hAnsi="宋体" w:cs="宋体"/>
          <w:b/>
          <w:color w:val="auto"/>
          <w:sz w:val="24"/>
          <w:szCs w:val="24"/>
        </w:rPr>
      </w:pPr>
    </w:p>
    <w:p>
      <w:pPr>
        <w:rPr>
          <w:rFonts w:hint="eastAsia" w:ascii="宋体" w:hAnsi="宋体" w:cs="宋体"/>
          <w:b/>
          <w:color w:val="auto"/>
          <w:sz w:val="24"/>
          <w:szCs w:val="24"/>
        </w:rPr>
      </w:pPr>
    </w:p>
    <w:p>
      <w:pPr>
        <w:rPr>
          <w:rFonts w:hint="eastAsia" w:ascii="宋体" w:hAnsi="宋体" w:cs="宋体"/>
          <w:b/>
          <w:color w:val="auto"/>
          <w:sz w:val="24"/>
          <w:szCs w:val="24"/>
        </w:rPr>
      </w:pPr>
    </w:p>
    <w:p>
      <w:pPr>
        <w:rPr>
          <w:rFonts w:ascii="宋体" w:hAnsi="宋体" w:cs="宋体"/>
          <w:b/>
          <w:color w:val="auto"/>
          <w:sz w:val="24"/>
          <w:szCs w:val="24"/>
        </w:rPr>
      </w:pPr>
      <w:r>
        <w:rPr>
          <w:rFonts w:hint="eastAsia" w:ascii="宋体" w:hAnsi="宋体" w:cs="宋体"/>
          <w:b/>
          <w:color w:val="auto"/>
          <w:sz w:val="24"/>
          <w:szCs w:val="24"/>
        </w:rPr>
        <w:t>附件1</w:t>
      </w:r>
      <w:r>
        <w:rPr>
          <w:rFonts w:hint="eastAsia" w:ascii="宋体" w:hAnsi="宋体" w:cs="宋体"/>
          <w:b/>
          <w:color w:val="auto"/>
          <w:sz w:val="24"/>
          <w:szCs w:val="24"/>
          <w:lang w:val="en-US" w:eastAsia="zh-CN"/>
        </w:rPr>
        <w:t>3</w:t>
      </w:r>
      <w:r>
        <w:rPr>
          <w:rFonts w:hint="eastAsia" w:ascii="宋体" w:hAnsi="宋体" w:cs="宋体"/>
          <w:b/>
          <w:color w:val="auto"/>
          <w:sz w:val="24"/>
          <w:szCs w:val="24"/>
        </w:rPr>
        <w:t>-1</w:t>
      </w:r>
    </w:p>
    <w:p>
      <w:pPr>
        <w:jc w:val="center"/>
        <w:rPr>
          <w:rFonts w:ascii="宋体" w:hAnsi="宋体" w:cs="宋体"/>
          <w:b/>
          <w:color w:val="auto"/>
          <w:sz w:val="24"/>
          <w:szCs w:val="24"/>
        </w:rPr>
      </w:pPr>
      <w:bookmarkStart w:id="16" w:name="OLE_LINK14"/>
      <w:bookmarkStart w:id="17" w:name="OLE_LINK13"/>
      <w:r>
        <w:rPr>
          <w:rFonts w:hint="eastAsia" w:ascii="宋体" w:hAnsi="宋体" w:cs="宋体"/>
          <w:b/>
          <w:color w:val="auto"/>
          <w:sz w:val="24"/>
          <w:szCs w:val="24"/>
        </w:rPr>
        <w:t>残疾人福利性单位声明函（</w:t>
      </w:r>
      <w:r>
        <w:rPr>
          <w:rFonts w:hint="eastAsia" w:ascii="宋体" w:hAnsi="宋体" w:cs="宋体"/>
          <w:b/>
          <w:color w:val="auto"/>
          <w:sz w:val="24"/>
          <w:szCs w:val="24"/>
          <w:lang w:eastAsia="zh-CN"/>
        </w:rPr>
        <w:t>供应商</w:t>
      </w:r>
      <w:r>
        <w:rPr>
          <w:rFonts w:hint="eastAsia" w:ascii="宋体" w:hAnsi="宋体" w:cs="宋体"/>
          <w:b/>
          <w:color w:val="auto"/>
          <w:sz w:val="24"/>
          <w:szCs w:val="24"/>
        </w:rPr>
        <w:t>）</w:t>
      </w:r>
    </w:p>
    <w:bookmarkEnd w:id="16"/>
    <w:bookmarkEnd w:id="17"/>
    <w:p>
      <w:pPr>
        <w:spacing w:after="0" w:line="560" w:lineRule="exact"/>
        <w:rPr>
          <w:rFonts w:ascii="宋体" w:hAnsi="宋体" w:cs="宋体"/>
          <w:color w:val="auto"/>
          <w:sz w:val="24"/>
          <w:szCs w:val="24"/>
        </w:rPr>
      </w:pPr>
    </w:p>
    <w:p>
      <w:pPr>
        <w:spacing w:after="0" w:line="560" w:lineRule="exact"/>
        <w:ind w:firstLine="224" w:firstLineChars="98"/>
        <w:rPr>
          <w:rFonts w:ascii="宋体" w:hAnsi="宋体" w:cs="宋体"/>
          <w:color w:val="auto"/>
          <w:sz w:val="24"/>
          <w:szCs w:val="24"/>
        </w:rPr>
      </w:pPr>
      <w:r>
        <w:rPr>
          <w:rFonts w:hint="eastAsia" w:ascii="宋体" w:hAnsi="宋体" w:cs="宋体"/>
          <w:color w:val="auto"/>
          <w:sz w:val="24"/>
          <w:szCs w:val="24"/>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560" w:lineRule="exact"/>
        <w:ind w:firstLine="224" w:firstLineChars="98"/>
        <w:rPr>
          <w:rFonts w:ascii="宋体" w:hAnsi="宋体" w:cs="宋体"/>
          <w:color w:val="auto"/>
          <w:sz w:val="24"/>
          <w:szCs w:val="24"/>
        </w:rPr>
      </w:pPr>
      <w:r>
        <w:rPr>
          <w:rFonts w:hint="eastAsia" w:ascii="宋体" w:hAnsi="宋体" w:cs="宋体"/>
          <w:color w:val="auto"/>
          <w:sz w:val="24"/>
          <w:szCs w:val="24"/>
        </w:rPr>
        <w:t>本单位对上述声明的真实性负责。如有虚假，将依法承担相应责任。</w:t>
      </w:r>
    </w:p>
    <w:p>
      <w:pPr>
        <w:spacing w:after="0" w:line="560" w:lineRule="exact"/>
        <w:ind w:firstLine="224" w:firstLineChars="98"/>
        <w:rPr>
          <w:rFonts w:ascii="宋体" w:hAnsi="宋体" w:cs="宋体"/>
          <w:color w:val="auto"/>
          <w:sz w:val="24"/>
          <w:szCs w:val="24"/>
        </w:rPr>
      </w:pPr>
      <w:r>
        <w:rPr>
          <w:rFonts w:hint="eastAsia" w:ascii="宋体" w:hAnsi="宋体" w:cs="宋体"/>
          <w:color w:val="auto"/>
          <w:sz w:val="24"/>
          <w:szCs w:val="24"/>
        </w:rPr>
        <w:t>中标供应商为残疾人福利性单位的，将随中标结果同时公告其《残疾人福利性单位声明函》，接受社会监督。</w:t>
      </w:r>
    </w:p>
    <w:p>
      <w:pPr>
        <w:spacing w:after="0" w:line="560" w:lineRule="exact"/>
        <w:rPr>
          <w:rFonts w:ascii="宋体" w:hAnsi="宋体" w:cs="宋体"/>
          <w:color w:val="auto"/>
          <w:sz w:val="24"/>
          <w:szCs w:val="24"/>
        </w:rPr>
      </w:pPr>
    </w:p>
    <w:p>
      <w:pPr>
        <w:spacing w:after="0" w:line="560" w:lineRule="exact"/>
        <w:rPr>
          <w:rFonts w:ascii="宋体" w:hAnsi="宋体" w:cs="宋体"/>
          <w:color w:val="auto"/>
          <w:sz w:val="24"/>
          <w:szCs w:val="24"/>
        </w:rPr>
      </w:pPr>
    </w:p>
    <w:p>
      <w:pPr>
        <w:spacing w:after="0" w:line="560" w:lineRule="exact"/>
        <w:rPr>
          <w:rFonts w:ascii="宋体" w:hAnsi="宋体" w:cs="宋体"/>
          <w:color w:val="auto"/>
          <w:sz w:val="24"/>
          <w:szCs w:val="24"/>
        </w:rPr>
      </w:pPr>
    </w:p>
    <w:p>
      <w:pPr>
        <w:spacing w:after="0" w:line="560" w:lineRule="exact"/>
        <w:jc w:val="right"/>
        <w:rPr>
          <w:rFonts w:ascii="宋体" w:hAnsi="宋体" w:cs="宋体"/>
          <w:color w:val="auto"/>
          <w:sz w:val="24"/>
          <w:szCs w:val="24"/>
        </w:rPr>
      </w:pPr>
      <w:r>
        <w:rPr>
          <w:rFonts w:hint="eastAsia" w:ascii="宋体" w:hAnsi="宋体" w:cs="宋体"/>
          <w:color w:val="auto"/>
          <w:sz w:val="24"/>
          <w:szCs w:val="24"/>
          <w:lang w:eastAsia="zh-CN"/>
        </w:rPr>
        <w:t>供应商</w:t>
      </w:r>
      <w:r>
        <w:rPr>
          <w:rFonts w:hint="eastAsia" w:ascii="宋体" w:hAnsi="宋体" w:cs="宋体"/>
          <w:color w:val="auto"/>
          <w:sz w:val="24"/>
          <w:szCs w:val="24"/>
        </w:rPr>
        <w:t>名称（单位公章）：</w:t>
      </w:r>
    </w:p>
    <w:p>
      <w:pPr>
        <w:spacing w:after="0" w:line="560" w:lineRule="exact"/>
        <w:rPr>
          <w:rFonts w:ascii="宋体" w:hAnsi="宋体" w:cs="宋体"/>
          <w:color w:val="auto"/>
          <w:sz w:val="24"/>
          <w:szCs w:val="24"/>
        </w:rPr>
      </w:pPr>
    </w:p>
    <w:p>
      <w:pPr>
        <w:spacing w:after="0" w:line="560" w:lineRule="exact"/>
        <w:jc w:val="center"/>
        <w:rPr>
          <w:rFonts w:ascii="宋体" w:hAnsi="宋体" w:cs="宋体"/>
          <w:color w:val="auto"/>
          <w:sz w:val="24"/>
          <w:szCs w:val="24"/>
        </w:rPr>
      </w:pPr>
      <w:r>
        <w:rPr>
          <w:rFonts w:hint="eastAsia" w:ascii="宋体" w:hAnsi="宋体" w:cs="宋体"/>
          <w:color w:val="auto"/>
          <w:sz w:val="24"/>
          <w:szCs w:val="24"/>
        </w:rPr>
        <w:t xml:space="preserve">                                         日期：20  年月日</w:t>
      </w:r>
    </w:p>
    <w:p>
      <w:pPr>
        <w:spacing w:after="0" w:line="560" w:lineRule="exact"/>
        <w:rPr>
          <w:rFonts w:ascii="宋体" w:hAnsi="宋体" w:cs="宋体"/>
          <w:color w:val="auto"/>
          <w:sz w:val="24"/>
          <w:szCs w:val="24"/>
        </w:rPr>
      </w:pPr>
    </w:p>
    <w:p>
      <w:pPr>
        <w:spacing w:after="0" w:line="560" w:lineRule="exact"/>
        <w:rPr>
          <w:rFonts w:ascii="宋体" w:hAnsi="宋体" w:cs="宋体"/>
          <w:color w:val="auto"/>
          <w:sz w:val="24"/>
          <w:szCs w:val="24"/>
        </w:rPr>
      </w:pPr>
      <w:r>
        <w:rPr>
          <w:rFonts w:hint="eastAsia" w:ascii="宋体" w:hAnsi="宋体" w:cs="宋体"/>
          <w:color w:val="auto"/>
          <w:sz w:val="24"/>
          <w:szCs w:val="24"/>
        </w:rPr>
        <w:t>注：1. 须将加盖</w:t>
      </w:r>
      <w:r>
        <w:rPr>
          <w:rFonts w:hint="eastAsia" w:ascii="宋体" w:hAnsi="宋体" w:cs="宋体"/>
          <w:color w:val="auto"/>
          <w:sz w:val="24"/>
          <w:szCs w:val="24"/>
          <w:lang w:eastAsia="zh-CN"/>
        </w:rPr>
        <w:t>供应商</w:t>
      </w:r>
      <w:r>
        <w:rPr>
          <w:rFonts w:hint="eastAsia" w:ascii="宋体" w:hAnsi="宋体" w:cs="宋体"/>
          <w:color w:val="auto"/>
          <w:sz w:val="24"/>
          <w:szCs w:val="24"/>
        </w:rPr>
        <w:t>单位公章的本声明函原件放入投标文件，否则不予认定。</w:t>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b/>
          <w:color w:val="auto"/>
          <w:sz w:val="24"/>
          <w:szCs w:val="24"/>
        </w:rPr>
      </w:pPr>
      <w:r>
        <w:rPr>
          <w:rFonts w:hint="eastAsia" w:ascii="宋体" w:hAnsi="宋体" w:cs="宋体"/>
          <w:b/>
          <w:color w:val="auto"/>
          <w:sz w:val="24"/>
          <w:szCs w:val="24"/>
        </w:rPr>
        <w:t>附件1</w:t>
      </w:r>
      <w:r>
        <w:rPr>
          <w:rFonts w:hint="eastAsia" w:ascii="宋体" w:hAnsi="宋体" w:cs="宋体"/>
          <w:b/>
          <w:color w:val="auto"/>
          <w:sz w:val="24"/>
          <w:szCs w:val="24"/>
          <w:lang w:val="en-US" w:eastAsia="zh-CN"/>
        </w:rPr>
        <w:t>3</w:t>
      </w:r>
      <w:r>
        <w:rPr>
          <w:rFonts w:hint="eastAsia" w:ascii="宋体" w:hAnsi="宋体" w:cs="宋体"/>
          <w:b/>
          <w:color w:val="auto"/>
          <w:sz w:val="24"/>
          <w:szCs w:val="24"/>
        </w:rPr>
        <w:t>-2</w:t>
      </w:r>
    </w:p>
    <w:p>
      <w:pPr>
        <w:jc w:val="center"/>
        <w:rPr>
          <w:rFonts w:ascii="宋体" w:hAnsi="宋体" w:cs="宋体"/>
          <w:b/>
          <w:color w:val="auto"/>
          <w:sz w:val="24"/>
          <w:szCs w:val="24"/>
        </w:rPr>
      </w:pPr>
      <w:r>
        <w:rPr>
          <w:rFonts w:hint="eastAsia" w:ascii="宋体" w:hAnsi="宋体" w:cs="宋体"/>
          <w:b/>
          <w:color w:val="auto"/>
          <w:sz w:val="24"/>
          <w:szCs w:val="24"/>
        </w:rPr>
        <w:t>残疾人福利性单位声明函（制造商）</w:t>
      </w:r>
    </w:p>
    <w:p>
      <w:pPr>
        <w:spacing w:after="0" w:line="560" w:lineRule="exact"/>
        <w:rPr>
          <w:rFonts w:ascii="宋体" w:hAnsi="宋体" w:cs="宋体"/>
          <w:color w:val="auto"/>
          <w:sz w:val="24"/>
          <w:szCs w:val="24"/>
        </w:rPr>
      </w:pPr>
    </w:p>
    <w:p>
      <w:pPr>
        <w:spacing w:after="0" w:line="560" w:lineRule="exact"/>
        <w:ind w:firstLine="224" w:firstLineChars="98"/>
        <w:rPr>
          <w:rFonts w:ascii="宋体" w:hAnsi="宋体" w:cs="宋体"/>
          <w:color w:val="auto"/>
          <w:sz w:val="24"/>
          <w:szCs w:val="24"/>
        </w:rPr>
      </w:pPr>
      <w:r>
        <w:rPr>
          <w:rFonts w:hint="eastAsia" w:ascii="宋体" w:hAnsi="宋体" w:cs="宋体"/>
          <w:color w:val="auto"/>
          <w:sz w:val="24"/>
          <w:szCs w:val="24"/>
        </w:rPr>
        <w:t>本单位郑重声明，根据《财政部民政部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560" w:lineRule="exact"/>
        <w:ind w:firstLine="224" w:firstLineChars="98"/>
        <w:rPr>
          <w:rFonts w:ascii="宋体" w:hAnsi="宋体" w:cs="宋体"/>
          <w:color w:val="auto"/>
          <w:sz w:val="24"/>
          <w:szCs w:val="24"/>
        </w:rPr>
      </w:pPr>
      <w:r>
        <w:rPr>
          <w:rFonts w:hint="eastAsia" w:ascii="宋体" w:hAnsi="宋体" w:cs="宋体"/>
          <w:color w:val="auto"/>
          <w:sz w:val="24"/>
          <w:szCs w:val="24"/>
        </w:rPr>
        <w:t>本单位对上述声明的真实性负责。如有虚假，将依法承担相应责任。</w:t>
      </w:r>
    </w:p>
    <w:p>
      <w:pPr>
        <w:spacing w:after="0" w:line="560" w:lineRule="exact"/>
        <w:ind w:firstLine="224" w:firstLineChars="98"/>
        <w:rPr>
          <w:rFonts w:ascii="宋体" w:hAnsi="宋体" w:cs="宋体"/>
          <w:color w:val="auto"/>
          <w:sz w:val="24"/>
          <w:szCs w:val="24"/>
        </w:rPr>
      </w:pPr>
      <w:r>
        <w:rPr>
          <w:rFonts w:hint="eastAsia" w:ascii="宋体" w:hAnsi="宋体" w:cs="宋体"/>
          <w:color w:val="auto"/>
          <w:sz w:val="24"/>
          <w:szCs w:val="24"/>
        </w:rPr>
        <w:t>中标供应商为残疾人福利性单位的，将随中标结果同时公告其《残疾人福利性单位声明函》，接受社会监督。</w:t>
      </w:r>
    </w:p>
    <w:p>
      <w:pPr>
        <w:spacing w:after="0" w:line="560" w:lineRule="exact"/>
        <w:rPr>
          <w:rFonts w:ascii="宋体" w:hAnsi="宋体" w:cs="宋体"/>
          <w:color w:val="auto"/>
          <w:sz w:val="24"/>
          <w:szCs w:val="24"/>
        </w:rPr>
      </w:pPr>
    </w:p>
    <w:p>
      <w:pPr>
        <w:spacing w:after="0" w:line="560" w:lineRule="exact"/>
        <w:rPr>
          <w:rFonts w:ascii="宋体" w:hAnsi="宋体" w:cs="宋体"/>
          <w:color w:val="auto"/>
          <w:sz w:val="24"/>
          <w:szCs w:val="24"/>
        </w:rPr>
      </w:pPr>
    </w:p>
    <w:p>
      <w:pPr>
        <w:spacing w:after="0" w:line="560" w:lineRule="exact"/>
        <w:rPr>
          <w:rFonts w:ascii="宋体" w:hAnsi="宋体" w:cs="宋体"/>
          <w:color w:val="auto"/>
          <w:sz w:val="24"/>
          <w:szCs w:val="24"/>
        </w:rPr>
      </w:pPr>
    </w:p>
    <w:p>
      <w:pPr>
        <w:spacing w:after="0" w:line="560" w:lineRule="exact"/>
        <w:jc w:val="right"/>
        <w:rPr>
          <w:rFonts w:ascii="宋体" w:hAnsi="宋体" w:cs="宋体"/>
          <w:color w:val="auto"/>
          <w:sz w:val="24"/>
          <w:szCs w:val="24"/>
        </w:rPr>
      </w:pPr>
      <w:r>
        <w:rPr>
          <w:rFonts w:hint="eastAsia" w:ascii="宋体" w:hAnsi="宋体" w:cs="宋体"/>
          <w:color w:val="auto"/>
          <w:sz w:val="24"/>
          <w:szCs w:val="24"/>
        </w:rPr>
        <w:t>制造商名称（单位公章）：</w:t>
      </w:r>
    </w:p>
    <w:p>
      <w:pPr>
        <w:spacing w:after="0" w:line="560" w:lineRule="exact"/>
        <w:rPr>
          <w:rFonts w:ascii="宋体" w:hAnsi="宋体" w:cs="宋体"/>
          <w:color w:val="auto"/>
          <w:sz w:val="24"/>
          <w:szCs w:val="24"/>
        </w:rPr>
      </w:pPr>
    </w:p>
    <w:p>
      <w:pPr>
        <w:spacing w:after="0" w:line="560" w:lineRule="exact"/>
        <w:jc w:val="center"/>
        <w:rPr>
          <w:rFonts w:ascii="宋体" w:hAnsi="宋体" w:cs="宋体"/>
          <w:color w:val="auto"/>
          <w:sz w:val="24"/>
          <w:szCs w:val="24"/>
        </w:rPr>
      </w:pPr>
      <w:r>
        <w:rPr>
          <w:rFonts w:hint="eastAsia" w:ascii="宋体" w:hAnsi="宋体" w:cs="宋体"/>
          <w:color w:val="auto"/>
          <w:sz w:val="24"/>
          <w:szCs w:val="24"/>
        </w:rPr>
        <w:t xml:space="preserve">                                         日期：20  年月日</w:t>
      </w:r>
    </w:p>
    <w:p>
      <w:pPr>
        <w:spacing w:after="0" w:line="560" w:lineRule="exact"/>
        <w:rPr>
          <w:rFonts w:ascii="宋体" w:hAnsi="宋体" w:cs="宋体"/>
          <w:color w:val="auto"/>
          <w:sz w:val="24"/>
          <w:szCs w:val="24"/>
        </w:rPr>
      </w:pPr>
    </w:p>
    <w:p>
      <w:pPr>
        <w:spacing w:after="0" w:line="560" w:lineRule="exact"/>
        <w:rPr>
          <w:rFonts w:ascii="宋体" w:hAnsi="宋体" w:cs="宋体"/>
          <w:color w:val="auto"/>
          <w:sz w:val="24"/>
          <w:szCs w:val="24"/>
        </w:rPr>
      </w:pPr>
      <w:r>
        <w:rPr>
          <w:rFonts w:hint="eastAsia" w:ascii="宋体" w:hAnsi="宋体" w:cs="宋体"/>
          <w:color w:val="auto"/>
          <w:sz w:val="24"/>
          <w:szCs w:val="24"/>
        </w:rPr>
        <w:t>注：1. 须将加盖</w:t>
      </w:r>
      <w:r>
        <w:rPr>
          <w:rFonts w:hint="eastAsia" w:ascii="宋体" w:hAnsi="宋体" w:cs="宋体"/>
          <w:color w:val="auto"/>
          <w:sz w:val="24"/>
          <w:szCs w:val="24"/>
          <w:lang w:eastAsia="zh-CN"/>
        </w:rPr>
        <w:t>供应商</w:t>
      </w:r>
      <w:r>
        <w:rPr>
          <w:rFonts w:hint="eastAsia" w:ascii="宋体" w:hAnsi="宋体" w:cs="宋体"/>
          <w:color w:val="auto"/>
          <w:sz w:val="24"/>
          <w:szCs w:val="24"/>
        </w:rPr>
        <w:t>单位公章的本声明函原件放入投标文件，否则不予认定。</w:t>
      </w:r>
    </w:p>
    <w:p>
      <w:pPr>
        <w:rPr>
          <w:rFonts w:ascii="宋体" w:hAnsi="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spacing w:line="620" w:lineRule="exact"/>
        <w:rPr>
          <w:rFonts w:ascii="宋体" w:hAnsi="宋体" w:cs="宋体"/>
          <w:b/>
          <w:color w:val="auto"/>
          <w:sz w:val="24"/>
        </w:rPr>
      </w:pPr>
      <w:r>
        <w:rPr>
          <w:rFonts w:hint="eastAsia" w:ascii="宋体" w:hAnsi="宋体" w:cs="宋体"/>
          <w:b/>
          <w:color w:val="auto"/>
          <w:sz w:val="24"/>
        </w:rPr>
        <w:t>附件1</w:t>
      </w:r>
      <w:r>
        <w:rPr>
          <w:rFonts w:hint="eastAsia" w:ascii="宋体" w:hAnsi="宋体" w:cs="宋体"/>
          <w:b/>
          <w:color w:val="auto"/>
          <w:sz w:val="24"/>
          <w:lang w:val="en-US" w:eastAsia="zh-CN"/>
        </w:rPr>
        <w:t>3</w:t>
      </w:r>
      <w:r>
        <w:rPr>
          <w:rFonts w:hint="eastAsia" w:ascii="宋体" w:hAnsi="宋体" w:cs="宋体"/>
          <w:b/>
          <w:color w:val="auto"/>
          <w:sz w:val="24"/>
        </w:rPr>
        <w:t>-3</w:t>
      </w:r>
    </w:p>
    <w:p>
      <w:pPr>
        <w:autoSpaceDN w:val="0"/>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中小微企业声明函</w:t>
      </w:r>
    </w:p>
    <w:p>
      <w:pPr>
        <w:snapToGrid w:val="0"/>
        <w:spacing w:line="360" w:lineRule="auto"/>
        <w:ind w:firstLine="456" w:firstLineChars="200"/>
        <w:rPr>
          <w:rFonts w:hint="eastAsia" w:ascii="宋体" w:hAnsi="宋体" w:eastAsia="宋体" w:cs="宋体"/>
          <w:color w:val="auto"/>
          <w:sz w:val="24"/>
          <w:szCs w:val="21"/>
          <w:u w:val="none"/>
          <w:lang w:val="en-US" w:eastAsia="zh-CN"/>
        </w:rPr>
      </w:pPr>
      <w:r>
        <w:rPr>
          <w:rFonts w:hint="eastAsia" w:ascii="宋体" w:hAnsi="宋体" w:eastAsia="宋体" w:cs="宋体"/>
          <w:color w:val="auto"/>
          <w:sz w:val="24"/>
          <w:szCs w:val="21"/>
        </w:rPr>
        <w:t>本公司</w:t>
      </w:r>
      <w:r>
        <w:rPr>
          <w:rFonts w:hint="eastAsia" w:ascii="宋体" w:hAnsi="宋体" w:eastAsia="宋体" w:cs="宋体"/>
          <w:color w:val="auto"/>
          <w:sz w:val="24"/>
          <w:szCs w:val="21"/>
          <w:lang w:eastAsia="zh-CN"/>
        </w:rPr>
        <w:t>（</w:t>
      </w:r>
      <w:r>
        <w:rPr>
          <w:rFonts w:hint="eastAsia" w:ascii="宋体" w:hAnsi="宋体" w:eastAsia="宋体" w:cs="宋体"/>
          <w:color w:val="auto"/>
          <w:sz w:val="24"/>
          <w:szCs w:val="21"/>
          <w:lang w:val="en-US" w:eastAsia="zh-CN"/>
        </w:rPr>
        <w:t>联合体</w:t>
      </w:r>
      <w:r>
        <w:rPr>
          <w:rFonts w:hint="eastAsia" w:ascii="宋体" w:hAnsi="宋体" w:eastAsia="宋体" w:cs="宋体"/>
          <w:color w:val="auto"/>
          <w:sz w:val="24"/>
          <w:szCs w:val="21"/>
          <w:lang w:eastAsia="zh-CN"/>
        </w:rPr>
        <w:t>）</w:t>
      </w:r>
      <w:r>
        <w:rPr>
          <w:rFonts w:hint="eastAsia" w:ascii="宋体" w:hAnsi="宋体" w:eastAsia="宋体" w:cs="宋体"/>
          <w:color w:val="auto"/>
          <w:sz w:val="24"/>
          <w:szCs w:val="21"/>
        </w:rPr>
        <w:t>郑重声明，根据《政府采购促进中小企业发展</w:t>
      </w:r>
      <w:r>
        <w:rPr>
          <w:rFonts w:hint="eastAsia" w:ascii="宋体" w:hAnsi="宋体" w:cs="宋体"/>
          <w:color w:val="auto"/>
          <w:sz w:val="24"/>
          <w:szCs w:val="21"/>
          <w:lang w:val="en-US" w:eastAsia="zh-CN"/>
        </w:rPr>
        <w:t>管理</w:t>
      </w:r>
      <w:r>
        <w:rPr>
          <w:rFonts w:hint="eastAsia" w:ascii="宋体" w:hAnsi="宋体" w:eastAsia="宋体" w:cs="宋体"/>
          <w:color w:val="auto"/>
          <w:sz w:val="24"/>
          <w:szCs w:val="21"/>
        </w:rPr>
        <w:t>办法》（财库[20</w:t>
      </w:r>
      <w:r>
        <w:rPr>
          <w:rFonts w:hint="eastAsia" w:ascii="宋体" w:hAnsi="宋体" w:eastAsia="宋体" w:cs="宋体"/>
          <w:color w:val="auto"/>
          <w:sz w:val="24"/>
          <w:szCs w:val="21"/>
          <w:lang w:val="en-US" w:eastAsia="zh-CN"/>
        </w:rPr>
        <w:t>20</w:t>
      </w:r>
      <w:r>
        <w:rPr>
          <w:rFonts w:hint="eastAsia" w:ascii="宋体" w:hAnsi="宋体" w:eastAsia="宋体" w:cs="宋体"/>
          <w:color w:val="auto"/>
          <w:sz w:val="24"/>
          <w:szCs w:val="21"/>
        </w:rPr>
        <w:t>]</w:t>
      </w:r>
      <w:r>
        <w:rPr>
          <w:rFonts w:hint="eastAsia" w:ascii="宋体" w:hAnsi="宋体" w:eastAsia="宋体" w:cs="宋体"/>
          <w:color w:val="auto"/>
          <w:sz w:val="24"/>
          <w:szCs w:val="21"/>
          <w:lang w:val="en-US" w:eastAsia="zh-CN"/>
        </w:rPr>
        <w:t>46</w:t>
      </w:r>
      <w:r>
        <w:rPr>
          <w:rFonts w:hint="eastAsia" w:ascii="宋体" w:hAnsi="宋体" w:eastAsia="宋体" w:cs="宋体"/>
          <w:color w:val="auto"/>
          <w:sz w:val="24"/>
          <w:szCs w:val="21"/>
        </w:rPr>
        <w:t>号）的规定，本公司</w:t>
      </w:r>
      <w:r>
        <w:rPr>
          <w:rFonts w:hint="eastAsia" w:ascii="宋体" w:hAnsi="宋体" w:eastAsia="宋体" w:cs="宋体"/>
          <w:color w:val="auto"/>
          <w:sz w:val="24"/>
          <w:szCs w:val="21"/>
          <w:lang w:eastAsia="zh-CN"/>
        </w:rPr>
        <w:t>（</w:t>
      </w:r>
      <w:r>
        <w:rPr>
          <w:rFonts w:hint="eastAsia" w:ascii="宋体" w:hAnsi="宋体" w:eastAsia="宋体" w:cs="宋体"/>
          <w:color w:val="auto"/>
          <w:sz w:val="24"/>
          <w:szCs w:val="21"/>
          <w:lang w:val="en-US" w:eastAsia="zh-CN"/>
        </w:rPr>
        <w:t>联合体</w:t>
      </w:r>
      <w:r>
        <w:rPr>
          <w:rFonts w:hint="eastAsia" w:ascii="宋体" w:hAnsi="宋体" w:eastAsia="宋体" w:cs="宋体"/>
          <w:color w:val="auto"/>
          <w:sz w:val="24"/>
          <w:szCs w:val="21"/>
          <w:lang w:eastAsia="zh-CN"/>
        </w:rPr>
        <w:t>）</w:t>
      </w:r>
      <w:r>
        <w:rPr>
          <w:rFonts w:hint="eastAsia" w:ascii="宋体" w:hAnsi="宋体" w:eastAsia="宋体" w:cs="宋体"/>
          <w:color w:val="auto"/>
          <w:sz w:val="24"/>
          <w:szCs w:val="21"/>
          <w:lang w:val="en-US" w:eastAsia="zh-CN"/>
        </w:rPr>
        <w:t>参加</w:t>
      </w:r>
      <w:r>
        <w:rPr>
          <w:rFonts w:hint="eastAsia" w:ascii="宋体" w:hAnsi="宋体" w:eastAsia="宋体" w:cs="宋体"/>
          <w:color w:val="auto"/>
          <w:sz w:val="24"/>
          <w:szCs w:val="21"/>
          <w:lang w:eastAsia="zh-CN"/>
        </w:rPr>
        <w:t>（</w:t>
      </w:r>
      <w:r>
        <w:rPr>
          <w:rFonts w:hint="eastAsia" w:ascii="宋体" w:hAnsi="宋体" w:eastAsia="宋体" w:cs="宋体"/>
          <w:color w:val="auto"/>
          <w:sz w:val="24"/>
          <w:szCs w:val="21"/>
          <w:u w:val="single"/>
          <w:lang w:val="en-US" w:eastAsia="zh-CN"/>
        </w:rPr>
        <w:t>单位名称</w:t>
      </w:r>
      <w:r>
        <w:rPr>
          <w:rFonts w:hint="eastAsia" w:ascii="宋体" w:hAnsi="宋体" w:eastAsia="宋体" w:cs="宋体"/>
          <w:color w:val="auto"/>
          <w:sz w:val="24"/>
          <w:szCs w:val="21"/>
          <w:lang w:eastAsia="zh-CN"/>
        </w:rPr>
        <w:t>）</w:t>
      </w:r>
      <w:r>
        <w:rPr>
          <w:rFonts w:hint="eastAsia" w:ascii="宋体" w:hAnsi="宋体" w:eastAsia="宋体" w:cs="宋体"/>
          <w:color w:val="auto"/>
          <w:sz w:val="24"/>
          <w:szCs w:val="21"/>
          <w:lang w:val="en-US" w:eastAsia="zh-CN"/>
        </w:rPr>
        <w:t>的</w:t>
      </w:r>
      <w:r>
        <w:rPr>
          <w:rFonts w:hint="eastAsia" w:ascii="宋体" w:hAnsi="宋体" w:eastAsia="宋体" w:cs="宋体"/>
          <w:color w:val="auto"/>
          <w:sz w:val="24"/>
          <w:szCs w:val="21"/>
          <w:u w:val="single"/>
          <w:lang w:val="en-US" w:eastAsia="zh-CN"/>
        </w:rPr>
        <w:t>（项目名称）</w:t>
      </w:r>
      <w:r>
        <w:rPr>
          <w:rFonts w:hint="eastAsia" w:ascii="宋体" w:hAnsi="宋体" w:eastAsia="宋体" w:cs="宋体"/>
          <w:color w:val="auto"/>
          <w:sz w:val="24"/>
          <w:szCs w:val="21"/>
          <w:u w:val="none"/>
          <w:lang w:val="en-US" w:eastAsia="zh-CN"/>
        </w:rPr>
        <w:t>采购活动，提供的货物全部由符合政策要求的中小企业制造。相关企业（含联合体中的中小企业、签订分包意向协议的中小企业）的具体情况如下：</w:t>
      </w:r>
    </w:p>
    <w:p>
      <w:pPr>
        <w:snapToGrid w:val="0"/>
        <w:spacing w:line="360" w:lineRule="auto"/>
        <w:ind w:firstLine="456" w:firstLineChars="200"/>
        <w:rPr>
          <w:rFonts w:hint="eastAsia" w:ascii="宋体" w:hAnsi="宋体" w:eastAsia="宋体" w:cs="宋体"/>
          <w:color w:val="auto"/>
          <w:sz w:val="24"/>
          <w:szCs w:val="21"/>
          <w:lang w:eastAsia="zh-CN"/>
        </w:rPr>
      </w:pPr>
      <w:r>
        <w:rPr>
          <w:rFonts w:hint="eastAsia" w:ascii="宋体" w:hAnsi="宋体" w:eastAsia="宋体" w:cs="宋体"/>
          <w:color w:val="auto"/>
          <w:sz w:val="24"/>
          <w:szCs w:val="21"/>
        </w:rPr>
        <w:t>1.</w:t>
      </w:r>
      <w:r>
        <w:rPr>
          <w:rFonts w:hint="eastAsia" w:ascii="宋体" w:hAnsi="宋体" w:eastAsia="宋体" w:cs="宋体"/>
          <w:color w:val="auto"/>
          <w:sz w:val="24"/>
          <w:szCs w:val="21"/>
          <w:lang w:eastAsia="zh-CN"/>
        </w:rPr>
        <w:t>（</w:t>
      </w:r>
      <w:r>
        <w:rPr>
          <w:rFonts w:hint="eastAsia" w:ascii="宋体" w:hAnsi="宋体" w:eastAsia="宋体" w:cs="宋体"/>
          <w:color w:val="auto"/>
          <w:sz w:val="24"/>
          <w:szCs w:val="21"/>
          <w:u w:val="single"/>
          <w:lang w:val="en-US" w:eastAsia="zh-CN"/>
        </w:rPr>
        <w:t>标的名称</w:t>
      </w:r>
      <w:r>
        <w:rPr>
          <w:rFonts w:hint="eastAsia" w:ascii="宋体" w:hAnsi="宋体" w:eastAsia="宋体" w:cs="宋体"/>
          <w:color w:val="auto"/>
          <w:sz w:val="24"/>
          <w:szCs w:val="21"/>
          <w:lang w:eastAsia="zh-CN"/>
        </w:rPr>
        <w:t>），</w:t>
      </w:r>
      <w:r>
        <w:rPr>
          <w:rFonts w:hint="eastAsia" w:ascii="宋体" w:hAnsi="宋体" w:eastAsia="宋体" w:cs="宋体"/>
          <w:color w:val="auto"/>
          <w:sz w:val="24"/>
          <w:szCs w:val="21"/>
          <w:lang w:val="en-US" w:eastAsia="zh-CN"/>
        </w:rPr>
        <w:t>属于</w:t>
      </w:r>
      <w:r>
        <w:rPr>
          <w:rFonts w:hint="eastAsia" w:ascii="宋体" w:hAnsi="宋体" w:eastAsia="宋体" w:cs="宋体"/>
          <w:color w:val="auto"/>
          <w:sz w:val="24"/>
          <w:szCs w:val="21"/>
          <w:u w:val="single"/>
          <w:lang w:val="en-US" w:eastAsia="zh-CN"/>
        </w:rPr>
        <w:t>（</w:t>
      </w:r>
      <w:r>
        <w:rPr>
          <w:rFonts w:hint="eastAsia" w:ascii="宋体" w:hAnsi="宋体" w:cs="宋体"/>
          <w:color w:val="auto"/>
          <w:sz w:val="24"/>
          <w:szCs w:val="21"/>
          <w:u w:val="single"/>
          <w:lang w:val="en-US" w:eastAsia="zh-CN"/>
        </w:rPr>
        <w:t>工业</w:t>
      </w:r>
      <w:r>
        <w:rPr>
          <w:rFonts w:hint="eastAsia" w:ascii="宋体" w:hAnsi="宋体" w:eastAsia="宋体" w:cs="宋体"/>
          <w:color w:val="auto"/>
          <w:sz w:val="24"/>
          <w:szCs w:val="21"/>
          <w:u w:val="single"/>
          <w:lang w:val="en-US" w:eastAsia="zh-CN"/>
        </w:rPr>
        <w:t>）</w:t>
      </w:r>
      <w:r>
        <w:rPr>
          <w:rFonts w:hint="eastAsia" w:ascii="宋体" w:hAnsi="宋体" w:eastAsia="宋体" w:cs="宋体"/>
          <w:color w:val="auto"/>
          <w:sz w:val="24"/>
          <w:szCs w:val="21"/>
          <w:u w:val="none"/>
          <w:lang w:val="en-US" w:eastAsia="zh-CN"/>
        </w:rPr>
        <w:t>行业；制造商为（企业名称），从业人员</w:t>
      </w:r>
      <w:r>
        <w:rPr>
          <w:rFonts w:hint="eastAsia" w:ascii="宋体" w:hAnsi="宋体" w:eastAsia="宋体" w:cs="宋体"/>
          <w:color w:val="auto"/>
          <w:sz w:val="24"/>
          <w:szCs w:val="21"/>
          <w:u w:val="single"/>
          <w:lang w:val="en-US" w:eastAsia="zh-CN"/>
        </w:rPr>
        <w:t xml:space="preserve">    </w:t>
      </w:r>
      <w:r>
        <w:rPr>
          <w:rFonts w:hint="eastAsia" w:ascii="宋体" w:hAnsi="宋体" w:eastAsia="宋体" w:cs="宋体"/>
          <w:color w:val="auto"/>
          <w:sz w:val="24"/>
          <w:szCs w:val="21"/>
          <w:u w:val="none"/>
          <w:lang w:val="en-US" w:eastAsia="zh-CN"/>
        </w:rPr>
        <w:t>人，营业收入为</w:t>
      </w:r>
      <w:r>
        <w:rPr>
          <w:rFonts w:hint="eastAsia" w:ascii="宋体" w:hAnsi="宋体" w:eastAsia="宋体" w:cs="宋体"/>
          <w:color w:val="auto"/>
          <w:sz w:val="24"/>
          <w:szCs w:val="21"/>
          <w:u w:val="single"/>
          <w:lang w:val="en-US" w:eastAsia="zh-CN"/>
        </w:rPr>
        <w:t xml:space="preserve">    </w:t>
      </w:r>
      <w:r>
        <w:rPr>
          <w:rFonts w:hint="eastAsia" w:ascii="宋体" w:hAnsi="宋体" w:eastAsia="宋体" w:cs="宋体"/>
          <w:color w:val="auto"/>
          <w:sz w:val="24"/>
          <w:szCs w:val="21"/>
          <w:u w:val="none"/>
          <w:lang w:val="en-US" w:eastAsia="zh-CN"/>
        </w:rPr>
        <w:t>万元，资产总额为</w:t>
      </w:r>
      <w:r>
        <w:rPr>
          <w:rFonts w:hint="eastAsia" w:ascii="宋体" w:hAnsi="宋体" w:eastAsia="宋体" w:cs="宋体"/>
          <w:color w:val="auto"/>
          <w:sz w:val="24"/>
          <w:szCs w:val="21"/>
          <w:u w:val="single"/>
          <w:lang w:val="en-US" w:eastAsia="zh-CN"/>
        </w:rPr>
        <w:t xml:space="preserve">    </w:t>
      </w:r>
      <w:r>
        <w:rPr>
          <w:rFonts w:hint="eastAsia" w:ascii="宋体" w:hAnsi="宋体" w:eastAsia="宋体" w:cs="宋体"/>
          <w:color w:val="auto"/>
          <w:sz w:val="24"/>
          <w:szCs w:val="21"/>
          <w:u w:val="none"/>
          <w:lang w:val="en-US" w:eastAsia="zh-CN"/>
        </w:rPr>
        <w:t>万元，属于（</w:t>
      </w:r>
      <w:r>
        <w:rPr>
          <w:rFonts w:hint="eastAsia" w:ascii="宋体" w:hAnsi="宋体" w:eastAsia="宋体" w:cs="宋体"/>
          <w:color w:val="auto"/>
          <w:sz w:val="24"/>
          <w:szCs w:val="21"/>
          <w:u w:val="single"/>
          <w:lang w:val="en-US" w:eastAsia="zh-CN"/>
        </w:rPr>
        <w:t>中型企业、小型企业、微型企业</w:t>
      </w:r>
      <w:r>
        <w:rPr>
          <w:rFonts w:hint="eastAsia" w:ascii="宋体" w:hAnsi="宋体" w:eastAsia="宋体" w:cs="宋体"/>
          <w:color w:val="auto"/>
          <w:sz w:val="24"/>
          <w:szCs w:val="21"/>
          <w:u w:val="none"/>
          <w:lang w:val="en-US" w:eastAsia="zh-CN"/>
        </w:rPr>
        <w:t>）</w:t>
      </w:r>
      <w:r>
        <w:rPr>
          <w:rFonts w:hint="eastAsia" w:ascii="宋体" w:hAnsi="宋体" w:eastAsia="宋体" w:cs="宋体"/>
          <w:color w:val="auto"/>
          <w:sz w:val="24"/>
          <w:szCs w:val="21"/>
          <w:lang w:eastAsia="zh-CN"/>
        </w:rPr>
        <w:t>；</w:t>
      </w:r>
    </w:p>
    <w:p>
      <w:pPr>
        <w:snapToGrid w:val="0"/>
        <w:spacing w:line="360" w:lineRule="auto"/>
        <w:ind w:firstLine="456" w:firstLineChars="200"/>
        <w:rPr>
          <w:rFonts w:hint="eastAsia" w:ascii="宋体" w:hAnsi="宋体" w:eastAsia="宋体" w:cs="宋体"/>
          <w:color w:val="auto"/>
          <w:sz w:val="24"/>
          <w:szCs w:val="21"/>
          <w:lang w:eastAsia="zh-CN"/>
        </w:rPr>
      </w:pPr>
      <w:r>
        <w:rPr>
          <w:rFonts w:hint="eastAsia" w:ascii="宋体" w:hAnsi="宋体" w:eastAsia="宋体" w:cs="宋体"/>
          <w:color w:val="auto"/>
          <w:sz w:val="24"/>
          <w:szCs w:val="21"/>
        </w:rPr>
        <w:t xml:space="preserve">2. </w:t>
      </w:r>
      <w:r>
        <w:rPr>
          <w:rFonts w:hint="eastAsia" w:ascii="宋体" w:hAnsi="宋体" w:eastAsia="宋体" w:cs="宋体"/>
          <w:color w:val="auto"/>
          <w:sz w:val="24"/>
          <w:szCs w:val="21"/>
          <w:lang w:eastAsia="zh-CN"/>
        </w:rPr>
        <w:t>（</w:t>
      </w:r>
      <w:r>
        <w:rPr>
          <w:rFonts w:hint="eastAsia" w:ascii="宋体" w:hAnsi="宋体" w:eastAsia="宋体" w:cs="宋体"/>
          <w:color w:val="auto"/>
          <w:sz w:val="24"/>
          <w:szCs w:val="21"/>
          <w:u w:val="single"/>
          <w:lang w:val="en-US" w:eastAsia="zh-CN"/>
        </w:rPr>
        <w:t>标的名称</w:t>
      </w:r>
      <w:r>
        <w:rPr>
          <w:rFonts w:hint="eastAsia" w:ascii="宋体" w:hAnsi="宋体" w:eastAsia="宋体" w:cs="宋体"/>
          <w:color w:val="auto"/>
          <w:sz w:val="24"/>
          <w:szCs w:val="21"/>
          <w:lang w:eastAsia="zh-CN"/>
        </w:rPr>
        <w:t>），</w:t>
      </w:r>
      <w:r>
        <w:rPr>
          <w:rFonts w:hint="eastAsia" w:ascii="宋体" w:hAnsi="宋体" w:eastAsia="宋体" w:cs="宋体"/>
          <w:color w:val="auto"/>
          <w:sz w:val="24"/>
          <w:szCs w:val="21"/>
          <w:lang w:val="en-US" w:eastAsia="zh-CN"/>
        </w:rPr>
        <w:t>属于</w:t>
      </w:r>
      <w:r>
        <w:rPr>
          <w:rFonts w:hint="eastAsia" w:ascii="宋体" w:hAnsi="宋体" w:eastAsia="宋体" w:cs="宋体"/>
          <w:color w:val="auto"/>
          <w:sz w:val="24"/>
          <w:szCs w:val="21"/>
          <w:u w:val="single"/>
          <w:lang w:val="en-US" w:eastAsia="zh-CN"/>
        </w:rPr>
        <w:t>（</w:t>
      </w:r>
      <w:r>
        <w:rPr>
          <w:rFonts w:hint="eastAsia" w:ascii="宋体" w:hAnsi="宋体" w:cs="宋体"/>
          <w:color w:val="auto"/>
          <w:sz w:val="24"/>
          <w:szCs w:val="21"/>
          <w:u w:val="single"/>
          <w:lang w:val="en-US" w:eastAsia="zh-CN"/>
        </w:rPr>
        <w:t>工</w:t>
      </w:r>
      <w:r>
        <w:rPr>
          <w:rFonts w:hint="eastAsia" w:ascii="宋体" w:hAnsi="宋体" w:eastAsia="宋体" w:cs="宋体"/>
          <w:color w:val="auto"/>
          <w:sz w:val="24"/>
          <w:szCs w:val="21"/>
          <w:u w:val="single"/>
          <w:lang w:val="en-US" w:eastAsia="zh-CN"/>
        </w:rPr>
        <w:t>业）</w:t>
      </w:r>
      <w:r>
        <w:rPr>
          <w:rFonts w:hint="eastAsia" w:ascii="宋体" w:hAnsi="宋体" w:eastAsia="宋体" w:cs="宋体"/>
          <w:color w:val="auto"/>
          <w:sz w:val="24"/>
          <w:szCs w:val="21"/>
          <w:u w:val="none"/>
          <w:lang w:val="en-US" w:eastAsia="zh-CN"/>
        </w:rPr>
        <w:t>行业；制造商为（企业名称），从业人员</w:t>
      </w:r>
      <w:r>
        <w:rPr>
          <w:rFonts w:hint="eastAsia" w:ascii="宋体" w:hAnsi="宋体" w:eastAsia="宋体" w:cs="宋体"/>
          <w:color w:val="auto"/>
          <w:sz w:val="24"/>
          <w:szCs w:val="21"/>
          <w:u w:val="single"/>
          <w:lang w:val="en-US" w:eastAsia="zh-CN"/>
        </w:rPr>
        <w:t xml:space="preserve">    </w:t>
      </w:r>
      <w:r>
        <w:rPr>
          <w:rFonts w:hint="eastAsia" w:ascii="宋体" w:hAnsi="宋体" w:eastAsia="宋体" w:cs="宋体"/>
          <w:color w:val="auto"/>
          <w:sz w:val="24"/>
          <w:szCs w:val="21"/>
          <w:u w:val="none"/>
          <w:lang w:val="en-US" w:eastAsia="zh-CN"/>
        </w:rPr>
        <w:t>人，营业收入为</w:t>
      </w:r>
      <w:r>
        <w:rPr>
          <w:rFonts w:hint="eastAsia" w:ascii="宋体" w:hAnsi="宋体" w:eastAsia="宋体" w:cs="宋体"/>
          <w:color w:val="auto"/>
          <w:sz w:val="24"/>
          <w:szCs w:val="21"/>
          <w:u w:val="single"/>
          <w:lang w:val="en-US" w:eastAsia="zh-CN"/>
        </w:rPr>
        <w:t xml:space="preserve">    </w:t>
      </w:r>
      <w:r>
        <w:rPr>
          <w:rFonts w:hint="eastAsia" w:ascii="宋体" w:hAnsi="宋体" w:eastAsia="宋体" w:cs="宋体"/>
          <w:color w:val="auto"/>
          <w:sz w:val="24"/>
          <w:szCs w:val="21"/>
          <w:u w:val="none"/>
          <w:lang w:val="en-US" w:eastAsia="zh-CN"/>
        </w:rPr>
        <w:t>万元，资产总额为</w:t>
      </w:r>
      <w:r>
        <w:rPr>
          <w:rFonts w:hint="eastAsia" w:ascii="宋体" w:hAnsi="宋体" w:eastAsia="宋体" w:cs="宋体"/>
          <w:color w:val="auto"/>
          <w:sz w:val="24"/>
          <w:szCs w:val="21"/>
          <w:u w:val="single"/>
          <w:lang w:val="en-US" w:eastAsia="zh-CN"/>
        </w:rPr>
        <w:t xml:space="preserve">    </w:t>
      </w:r>
      <w:r>
        <w:rPr>
          <w:rFonts w:hint="eastAsia" w:ascii="宋体" w:hAnsi="宋体" w:eastAsia="宋体" w:cs="宋体"/>
          <w:color w:val="auto"/>
          <w:sz w:val="24"/>
          <w:szCs w:val="21"/>
          <w:u w:val="none"/>
          <w:lang w:val="en-US" w:eastAsia="zh-CN"/>
        </w:rPr>
        <w:t>万元，属于（</w:t>
      </w:r>
      <w:r>
        <w:rPr>
          <w:rFonts w:hint="eastAsia" w:ascii="宋体" w:hAnsi="宋体" w:eastAsia="宋体" w:cs="宋体"/>
          <w:color w:val="auto"/>
          <w:sz w:val="24"/>
          <w:szCs w:val="21"/>
          <w:u w:val="single"/>
          <w:lang w:val="en-US" w:eastAsia="zh-CN"/>
        </w:rPr>
        <w:t>中型企业、小型企业、微型企业</w:t>
      </w:r>
      <w:r>
        <w:rPr>
          <w:rFonts w:hint="eastAsia" w:ascii="宋体" w:hAnsi="宋体" w:eastAsia="宋体" w:cs="宋体"/>
          <w:color w:val="auto"/>
          <w:sz w:val="24"/>
          <w:szCs w:val="21"/>
          <w:u w:val="none"/>
          <w:lang w:val="en-US" w:eastAsia="zh-CN"/>
        </w:rPr>
        <w:t>）</w:t>
      </w:r>
      <w:r>
        <w:rPr>
          <w:rFonts w:hint="eastAsia" w:ascii="宋体" w:hAnsi="宋体" w:eastAsia="宋体" w:cs="宋体"/>
          <w:color w:val="auto"/>
          <w:sz w:val="24"/>
          <w:szCs w:val="21"/>
          <w:lang w:eastAsia="zh-CN"/>
        </w:rPr>
        <w:t>；</w:t>
      </w:r>
    </w:p>
    <w:p>
      <w:pPr>
        <w:snapToGrid w:val="0"/>
        <w:spacing w:line="360" w:lineRule="auto"/>
        <w:ind w:firstLine="456" w:firstLineChars="200"/>
        <w:rPr>
          <w:rFonts w:hint="default"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w:t>
      </w:r>
    </w:p>
    <w:p>
      <w:pPr>
        <w:snapToGrid w:val="0"/>
        <w:spacing w:line="360" w:lineRule="auto"/>
        <w:ind w:firstLine="456" w:firstLineChars="200"/>
        <w:rPr>
          <w:rFonts w:hint="eastAsia"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以上企业，不属于大企业的分支机构，不存在控股股东为大企业的情形，也不存在与大企业的负责人为同一人的情形。</w:t>
      </w:r>
    </w:p>
    <w:p>
      <w:pPr>
        <w:snapToGrid w:val="0"/>
        <w:spacing w:line="360" w:lineRule="auto"/>
        <w:ind w:firstLine="456" w:firstLineChars="200"/>
        <w:rPr>
          <w:rFonts w:hint="eastAsia" w:ascii="宋体" w:hAnsi="宋体" w:eastAsia="宋体" w:cs="宋体"/>
          <w:color w:val="auto"/>
          <w:spacing w:val="6"/>
          <w:sz w:val="24"/>
        </w:rPr>
      </w:pPr>
      <w:r>
        <w:rPr>
          <w:rFonts w:hint="eastAsia" w:ascii="宋体" w:hAnsi="宋体" w:eastAsia="宋体" w:cs="宋体"/>
          <w:color w:val="auto"/>
          <w:sz w:val="24"/>
          <w:szCs w:val="21"/>
        </w:rPr>
        <w:t>本</w:t>
      </w:r>
      <w:r>
        <w:rPr>
          <w:rFonts w:hint="eastAsia" w:ascii="宋体" w:hAnsi="宋体" w:eastAsia="宋体" w:cs="宋体"/>
          <w:color w:val="auto"/>
          <w:sz w:val="24"/>
          <w:szCs w:val="21"/>
          <w:lang w:val="en-US" w:eastAsia="zh-CN"/>
        </w:rPr>
        <w:t>企业</w:t>
      </w:r>
      <w:r>
        <w:rPr>
          <w:rFonts w:hint="eastAsia" w:ascii="宋体" w:hAnsi="宋体" w:eastAsia="宋体" w:cs="宋体"/>
          <w:color w:val="auto"/>
          <w:sz w:val="24"/>
          <w:szCs w:val="21"/>
        </w:rPr>
        <w:t>对上述声明</w:t>
      </w:r>
      <w:r>
        <w:rPr>
          <w:rFonts w:hint="eastAsia" w:ascii="宋体" w:hAnsi="宋体" w:eastAsia="宋体" w:cs="宋体"/>
          <w:color w:val="auto"/>
          <w:sz w:val="24"/>
          <w:szCs w:val="21"/>
          <w:lang w:val="en-US" w:eastAsia="zh-CN"/>
        </w:rPr>
        <w:t>内容得</w:t>
      </w:r>
      <w:r>
        <w:rPr>
          <w:rFonts w:hint="eastAsia" w:ascii="宋体" w:hAnsi="宋体" w:eastAsia="宋体" w:cs="宋体"/>
          <w:color w:val="auto"/>
          <w:sz w:val="24"/>
          <w:szCs w:val="21"/>
        </w:rPr>
        <w:t>真实性负责。如有虚假，将依法承担相应责任。</w:t>
      </w:r>
    </w:p>
    <w:p>
      <w:pPr>
        <w:snapToGrid w:val="0"/>
        <w:spacing w:line="360" w:lineRule="auto"/>
        <w:ind w:firstLine="4788" w:firstLineChars="2100"/>
        <w:rPr>
          <w:rFonts w:hint="eastAsia" w:ascii="宋体" w:hAnsi="宋体" w:eastAsia="宋体" w:cs="宋体"/>
          <w:color w:val="auto"/>
          <w:sz w:val="24"/>
          <w:szCs w:val="21"/>
        </w:rPr>
      </w:pPr>
      <w:r>
        <w:rPr>
          <w:rFonts w:hint="eastAsia" w:ascii="宋体" w:hAnsi="宋体" w:eastAsia="宋体" w:cs="宋体"/>
          <w:color w:val="auto"/>
          <w:sz w:val="24"/>
          <w:szCs w:val="21"/>
          <w:lang w:val="en-US" w:eastAsia="zh-CN"/>
        </w:rPr>
        <w:t>企业</w:t>
      </w:r>
      <w:r>
        <w:rPr>
          <w:rFonts w:hint="eastAsia" w:ascii="宋体" w:hAnsi="宋体" w:eastAsia="宋体" w:cs="宋体"/>
          <w:color w:val="auto"/>
          <w:sz w:val="24"/>
          <w:szCs w:val="21"/>
        </w:rPr>
        <w:t>名称（公章）：</w:t>
      </w:r>
    </w:p>
    <w:p>
      <w:pPr>
        <w:snapToGrid w:val="0"/>
        <w:spacing w:line="360" w:lineRule="auto"/>
        <w:ind w:firstLine="4788" w:firstLineChars="2100"/>
        <w:rPr>
          <w:rFonts w:hint="eastAsia" w:ascii="宋体" w:hAnsi="宋体" w:eastAsia="宋体" w:cs="宋体"/>
          <w:color w:val="auto"/>
          <w:sz w:val="24"/>
          <w:szCs w:val="21"/>
        </w:rPr>
      </w:pPr>
      <w:r>
        <w:rPr>
          <w:rFonts w:hint="eastAsia" w:ascii="宋体" w:hAnsi="宋体" w:eastAsia="宋体" w:cs="宋体"/>
          <w:color w:val="auto"/>
          <w:sz w:val="24"/>
          <w:szCs w:val="21"/>
        </w:rPr>
        <w:t>日期：20  年   月   日</w:t>
      </w:r>
    </w:p>
    <w:p>
      <w:pPr>
        <w:keepNext w:val="0"/>
        <w:keepLines w:val="0"/>
        <w:pageBreakBefore w:val="0"/>
        <w:widowControl/>
        <w:kinsoku/>
        <w:wordWrap/>
        <w:overflowPunct/>
        <w:topLinePunct w:val="0"/>
        <w:autoSpaceDE/>
        <w:autoSpaceDN/>
        <w:bidi w:val="0"/>
        <w:adjustRightInd/>
        <w:snapToGrid/>
        <w:spacing w:after="0" w:line="480" w:lineRule="exact"/>
        <w:ind w:right="85" w:firstLine="228" w:firstLineChars="100"/>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注：</w:t>
      </w:r>
    </w:p>
    <w:p>
      <w:pPr>
        <w:keepNext w:val="0"/>
        <w:keepLines w:val="0"/>
        <w:pageBreakBefore w:val="0"/>
        <w:widowControl/>
        <w:kinsoku/>
        <w:wordWrap/>
        <w:overflowPunct/>
        <w:topLinePunct w:val="0"/>
        <w:autoSpaceDE/>
        <w:autoSpaceDN/>
        <w:bidi w:val="0"/>
        <w:adjustRightInd/>
        <w:snapToGrid/>
        <w:spacing w:after="0" w:line="480" w:lineRule="exact"/>
        <w:ind w:right="85" w:firstLine="228" w:firstLineChars="100"/>
        <w:textAlignment w:val="auto"/>
        <w:rPr>
          <w:b/>
          <w:color w:val="auto"/>
          <w:sz w:val="24"/>
          <w:szCs w:val="24"/>
        </w:rPr>
      </w:pPr>
      <w:r>
        <w:rPr>
          <w:b/>
          <w:color w:val="auto"/>
          <w:sz w:val="24"/>
          <w:szCs w:val="24"/>
        </w:rPr>
        <w:t>1.标的名称须按照采购文件“项目需求书”中明确的标的名称进行填写；所属行业须按照采购文件中明确的所属行业进行填写，否则不享受中小企业扶持政策。</w:t>
      </w:r>
    </w:p>
    <w:p>
      <w:pPr>
        <w:keepNext w:val="0"/>
        <w:keepLines w:val="0"/>
        <w:pageBreakBefore w:val="0"/>
        <w:widowControl/>
        <w:kinsoku/>
        <w:wordWrap/>
        <w:overflowPunct/>
        <w:topLinePunct w:val="0"/>
        <w:autoSpaceDE/>
        <w:autoSpaceDN/>
        <w:bidi w:val="0"/>
        <w:adjustRightInd/>
        <w:snapToGrid/>
        <w:spacing w:after="0" w:line="480" w:lineRule="exact"/>
        <w:ind w:right="85" w:firstLine="228" w:firstLineChars="100"/>
        <w:textAlignment w:val="auto"/>
        <w:rPr>
          <w:b/>
          <w:color w:val="auto"/>
          <w:sz w:val="24"/>
          <w:szCs w:val="24"/>
        </w:rPr>
      </w:pPr>
      <w:r>
        <w:rPr>
          <w:b/>
          <w:color w:val="auto"/>
          <w:sz w:val="24"/>
          <w:szCs w:val="24"/>
        </w:rPr>
        <w:t>2.从业人员、营业收入、资产总额填报上一年度数据，无上一年度数据的新成立企业可不填报。除新成立企业外，上表填写不全的，不享受中小企业扶持政策。</w:t>
      </w:r>
    </w:p>
    <w:p>
      <w:pPr>
        <w:keepNext w:val="0"/>
        <w:keepLines w:val="0"/>
        <w:pageBreakBefore w:val="0"/>
        <w:widowControl/>
        <w:kinsoku/>
        <w:wordWrap/>
        <w:overflowPunct/>
        <w:topLinePunct w:val="0"/>
        <w:autoSpaceDE/>
        <w:autoSpaceDN/>
        <w:bidi w:val="0"/>
        <w:adjustRightInd/>
        <w:snapToGrid/>
        <w:spacing w:after="0" w:line="480" w:lineRule="exact"/>
        <w:ind w:right="85" w:firstLine="228" w:firstLineChars="100"/>
        <w:textAlignment w:val="auto"/>
        <w:rPr>
          <w:rFonts w:hint="default" w:eastAsia="宋体"/>
          <w:color w:val="auto"/>
          <w:lang w:val="en-US" w:eastAsia="zh-CN"/>
        </w:rPr>
      </w:pPr>
      <w:r>
        <w:rPr>
          <w:b/>
          <w:color w:val="auto"/>
          <w:sz w:val="24"/>
          <w:szCs w:val="21"/>
        </w:rPr>
        <w:t>3.</w:t>
      </w:r>
      <w:r>
        <w:rPr>
          <w:rFonts w:hint="eastAsia"/>
          <w:b/>
          <w:color w:val="auto"/>
          <w:sz w:val="24"/>
          <w:szCs w:val="21"/>
          <w:lang w:val="en-US" w:eastAsia="zh-CN"/>
        </w:rPr>
        <w:t>中标</w:t>
      </w:r>
      <w:r>
        <w:rPr>
          <w:b/>
          <w:color w:val="auto"/>
          <w:sz w:val="24"/>
          <w:szCs w:val="21"/>
        </w:rPr>
        <w:t>供应商享受中小企业扶持政策的，将随成交结果同时公告其《中小企业声明函》，接受社会监督。</w:t>
      </w:r>
    </w:p>
    <w:p>
      <w:pPr>
        <w:rPr>
          <w:rFonts w:ascii="宋体" w:hAnsi="宋体" w:cs="宋体"/>
          <w:color w:val="auto"/>
          <w:sz w:val="24"/>
          <w:szCs w:val="24"/>
        </w:rPr>
      </w:pPr>
      <w:r>
        <w:rPr>
          <w:rFonts w:hint="eastAsia" w:ascii="宋体" w:hAnsi="宋体" w:cs="宋体"/>
          <w:color w:val="auto"/>
          <w:sz w:val="24"/>
          <w:szCs w:val="24"/>
        </w:rPr>
        <w:br w:type="page"/>
      </w:r>
    </w:p>
    <w:p>
      <w:pPr>
        <w:spacing w:line="620" w:lineRule="exact"/>
        <w:rPr>
          <w:rFonts w:hint="eastAsia" w:ascii="宋体" w:hAnsi="宋体" w:cs="宋体"/>
          <w:b/>
          <w:color w:val="auto"/>
          <w:sz w:val="24"/>
          <w:lang w:val="en-US" w:eastAsia="zh-CN"/>
        </w:rPr>
      </w:pPr>
      <w:r>
        <w:rPr>
          <w:rFonts w:hint="eastAsia" w:ascii="宋体" w:hAnsi="宋体" w:eastAsia="宋体" w:cs="宋体"/>
          <w:b/>
          <w:color w:val="auto"/>
          <w:sz w:val="24"/>
        </w:rPr>
        <w:t>附件</w:t>
      </w:r>
      <w:r>
        <w:rPr>
          <w:rFonts w:hint="eastAsia" w:ascii="宋体" w:hAnsi="宋体" w:eastAsia="宋体" w:cs="宋体"/>
          <w:b/>
          <w:color w:val="auto"/>
          <w:sz w:val="24"/>
          <w:lang w:val="en-US" w:eastAsia="zh-CN"/>
        </w:rPr>
        <w:t>1</w:t>
      </w:r>
      <w:r>
        <w:rPr>
          <w:rFonts w:hint="eastAsia" w:ascii="宋体" w:hAnsi="宋体" w:cs="宋体"/>
          <w:b/>
          <w:color w:val="auto"/>
          <w:sz w:val="24"/>
          <w:lang w:val="en-US" w:eastAsia="zh-CN"/>
        </w:rPr>
        <w:t>4</w:t>
      </w:r>
    </w:p>
    <w:p>
      <w:pPr>
        <w:pStyle w:val="43"/>
        <w:jc w:val="center"/>
        <w:rPr>
          <w:rFonts w:hint="default" w:eastAsia="宋体"/>
          <w:color w:val="auto"/>
          <w:lang w:val="en-US" w:eastAsia="zh-CN"/>
        </w:rPr>
      </w:pPr>
      <w:r>
        <w:rPr>
          <w:rFonts w:hint="eastAsia" w:ascii="宋体" w:hAnsi="宋体" w:cs="宋体"/>
          <w:b/>
          <w:color w:val="auto"/>
          <w:sz w:val="24"/>
          <w:szCs w:val="24"/>
          <w:lang w:val="en-US" w:eastAsia="zh-CN"/>
        </w:rPr>
        <w:t>真诚投标承诺书</w:t>
      </w:r>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default" w:ascii="宋体" w:hAnsi="宋体" w:eastAsia="宋体" w:cs="宋体"/>
          <w:b w:val="0"/>
          <w:bCs/>
          <w:color w:val="auto"/>
          <w:sz w:val="24"/>
          <w:szCs w:val="24"/>
          <w:lang w:val="en-US" w:eastAsia="zh-CN"/>
        </w:rPr>
      </w:pPr>
      <w:r>
        <w:rPr>
          <w:rFonts w:hint="eastAsia" w:ascii="宋体" w:hAnsi="宋体" w:cs="宋体"/>
          <w:b w:val="0"/>
          <w:bCs/>
          <w:color w:val="auto"/>
          <w:sz w:val="24"/>
          <w:szCs w:val="24"/>
        </w:rPr>
        <w:t>天津</w:t>
      </w:r>
      <w:r>
        <w:rPr>
          <w:rFonts w:hint="eastAsia" w:ascii="宋体" w:hAnsi="宋体" w:cs="宋体"/>
          <w:b w:val="0"/>
          <w:bCs/>
          <w:color w:val="auto"/>
          <w:sz w:val="24"/>
          <w:szCs w:val="24"/>
          <w:lang w:val="en-US" w:eastAsia="zh-CN"/>
        </w:rPr>
        <w:t>晟辰工程造价咨询有限公司：</w:t>
      </w:r>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宋体" w:hAnsi="宋体" w:eastAsia="宋体" w:cs="宋体"/>
          <w:b w:val="0"/>
          <w:bCs/>
          <w:color w:val="auto"/>
          <w:sz w:val="24"/>
          <w:szCs w:val="24"/>
          <w:lang w:eastAsia="zh-CN"/>
        </w:rPr>
      </w:pPr>
      <w:r>
        <w:rPr>
          <w:rFonts w:hint="eastAsia" w:ascii="宋体" w:hAnsi="宋体" w:cs="宋体"/>
          <w:b w:val="0"/>
          <w:bCs/>
          <w:color w:val="auto"/>
          <w:sz w:val="24"/>
          <w:szCs w:val="24"/>
        </w:rPr>
        <w:t>本供应商愿意参与“</w:t>
      </w:r>
      <w:r>
        <w:rPr>
          <w:rFonts w:hint="eastAsia" w:ascii="宋体" w:hAnsi="宋体" w:cs="宋体"/>
          <w:b w:val="0"/>
          <w:bCs/>
          <w:color w:val="auto"/>
          <w:sz w:val="24"/>
          <w:szCs w:val="24"/>
          <w:u w:val="single"/>
          <w:lang w:val="en-US" w:eastAsia="zh-CN"/>
        </w:rPr>
        <w:t xml:space="preserve">           </w:t>
      </w:r>
      <w:r>
        <w:rPr>
          <w:rFonts w:hint="eastAsia" w:ascii="宋体" w:hAnsi="宋体" w:cs="宋体"/>
          <w:b w:val="0"/>
          <w:bCs/>
          <w:color w:val="auto"/>
          <w:sz w:val="24"/>
          <w:szCs w:val="24"/>
        </w:rPr>
        <w:t>项目(</w:t>
      </w:r>
      <w:r>
        <w:rPr>
          <w:rFonts w:hint="eastAsia" w:ascii="宋体" w:hAnsi="宋体" w:cs="宋体"/>
          <w:b w:val="0"/>
          <w:bCs/>
          <w:color w:val="auto"/>
          <w:sz w:val="24"/>
          <w:szCs w:val="24"/>
          <w:lang w:val="en-US" w:eastAsia="zh-CN"/>
        </w:rPr>
        <w:t>编号：</w:t>
      </w:r>
      <w:r>
        <w:rPr>
          <w:rFonts w:hint="eastAsia" w:ascii="宋体" w:hAnsi="宋体" w:cs="宋体"/>
          <w:b w:val="0"/>
          <w:bCs/>
          <w:color w:val="auto"/>
          <w:sz w:val="24"/>
          <w:szCs w:val="24"/>
          <w:u w:val="single"/>
          <w:lang w:val="en-US" w:eastAsia="zh-CN"/>
        </w:rPr>
        <w:t xml:space="preserve">       </w:t>
      </w:r>
      <w:r>
        <w:rPr>
          <w:rFonts w:hint="eastAsia" w:ascii="宋体" w:hAnsi="宋体" w:cs="宋体"/>
          <w:b w:val="0"/>
          <w:bCs/>
          <w:color w:val="auto"/>
          <w:sz w:val="24"/>
          <w:szCs w:val="24"/>
          <w:u w:val="none"/>
          <w:lang w:val="en-US" w:eastAsia="zh-CN"/>
        </w:rPr>
        <w:t>）</w:t>
      </w:r>
      <w:r>
        <w:rPr>
          <w:rFonts w:hint="eastAsia" w:ascii="宋体" w:hAnsi="宋体" w:cs="宋体"/>
          <w:b w:val="0"/>
          <w:bCs/>
          <w:color w:val="auto"/>
          <w:sz w:val="24"/>
          <w:szCs w:val="24"/>
        </w:rPr>
        <w:t>”的</w:t>
      </w:r>
      <w:r>
        <w:rPr>
          <w:rFonts w:hint="eastAsia" w:ascii="宋体" w:hAnsi="宋体" w:cs="宋体"/>
          <w:b w:val="0"/>
          <w:bCs/>
          <w:color w:val="auto"/>
          <w:sz w:val="24"/>
          <w:szCs w:val="24"/>
          <w:lang w:val="en-US" w:eastAsia="zh-CN"/>
        </w:rPr>
        <w:t>投标</w:t>
      </w:r>
      <w:r>
        <w:rPr>
          <w:rFonts w:hint="eastAsia" w:ascii="宋体" w:hAnsi="宋体" w:cs="宋体"/>
          <w:b w:val="0"/>
          <w:bCs/>
          <w:color w:val="auto"/>
          <w:sz w:val="24"/>
          <w:szCs w:val="24"/>
        </w:rPr>
        <w:t>，并作出如下承诺</w:t>
      </w:r>
      <w:r>
        <w:rPr>
          <w:rFonts w:hint="eastAsia" w:ascii="宋体" w:hAnsi="宋体" w:cs="宋体"/>
          <w:b w:val="0"/>
          <w:bCs/>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宋体" w:hAnsi="宋体" w:cs="宋体"/>
          <w:b w:val="0"/>
          <w:bCs/>
          <w:color w:val="auto"/>
          <w:sz w:val="24"/>
          <w:szCs w:val="24"/>
        </w:rPr>
      </w:pPr>
      <w:r>
        <w:rPr>
          <w:rFonts w:hint="eastAsia" w:ascii="宋体" w:hAnsi="宋体" w:cs="宋体"/>
          <w:b w:val="0"/>
          <w:bCs/>
          <w:color w:val="auto"/>
          <w:sz w:val="24"/>
          <w:szCs w:val="24"/>
        </w:rPr>
        <w:t>1</w:t>
      </w:r>
      <w:r>
        <w:rPr>
          <w:rFonts w:hint="eastAsia" w:ascii="宋体" w:hAnsi="宋体" w:cs="宋体"/>
          <w:b w:val="0"/>
          <w:bCs/>
          <w:color w:val="auto"/>
          <w:sz w:val="24"/>
          <w:szCs w:val="24"/>
          <w:lang w:val="en-US" w:eastAsia="zh-CN"/>
        </w:rPr>
        <w:t>.</w:t>
      </w:r>
      <w:r>
        <w:rPr>
          <w:rFonts w:hint="eastAsia" w:ascii="宋体" w:hAnsi="宋体" w:cs="宋体"/>
          <w:b w:val="0"/>
          <w:bCs/>
          <w:color w:val="auto"/>
          <w:sz w:val="24"/>
          <w:szCs w:val="24"/>
        </w:rPr>
        <w:t>未与其他任何公司</w:t>
      </w:r>
      <w:r>
        <w:rPr>
          <w:rFonts w:hint="eastAsia" w:ascii="宋体" w:hAnsi="宋体" w:cs="宋体"/>
          <w:b w:val="0"/>
          <w:bCs/>
          <w:color w:val="auto"/>
          <w:sz w:val="24"/>
          <w:szCs w:val="24"/>
          <w:lang w:val="en-US" w:eastAsia="zh-CN"/>
        </w:rPr>
        <w:t>/</w:t>
      </w:r>
      <w:r>
        <w:rPr>
          <w:rFonts w:hint="eastAsia" w:ascii="宋体" w:hAnsi="宋体" w:cs="宋体"/>
          <w:b w:val="0"/>
          <w:bCs/>
          <w:color w:val="auto"/>
          <w:sz w:val="24"/>
          <w:szCs w:val="24"/>
        </w:rPr>
        <w:t>个人达成固定价格的协议。</w:t>
      </w:r>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宋体" w:hAnsi="宋体" w:cs="宋体"/>
          <w:b w:val="0"/>
          <w:bCs/>
          <w:color w:val="auto"/>
          <w:sz w:val="24"/>
          <w:szCs w:val="24"/>
        </w:rPr>
      </w:pPr>
      <w:r>
        <w:rPr>
          <w:rFonts w:hint="eastAsia" w:ascii="宋体" w:hAnsi="宋体" w:cs="宋体"/>
          <w:b w:val="0"/>
          <w:bCs/>
          <w:color w:val="auto"/>
          <w:sz w:val="24"/>
          <w:szCs w:val="24"/>
        </w:rPr>
        <w:t>2</w:t>
      </w:r>
      <w:r>
        <w:rPr>
          <w:rFonts w:hint="eastAsia" w:ascii="宋体" w:hAnsi="宋体" w:cs="宋体"/>
          <w:b w:val="0"/>
          <w:bCs/>
          <w:color w:val="auto"/>
          <w:sz w:val="24"/>
          <w:szCs w:val="24"/>
          <w:lang w:val="en-US" w:eastAsia="zh-CN"/>
        </w:rPr>
        <w:t>.</w:t>
      </w:r>
      <w:r>
        <w:rPr>
          <w:rFonts w:hint="eastAsia" w:ascii="宋体" w:hAnsi="宋体" w:cs="宋体"/>
          <w:b w:val="0"/>
          <w:bCs/>
          <w:color w:val="auto"/>
          <w:sz w:val="24"/>
          <w:szCs w:val="24"/>
        </w:rPr>
        <w:t>在</w:t>
      </w:r>
      <w:r>
        <w:rPr>
          <w:rFonts w:hint="eastAsia" w:ascii="宋体" w:hAnsi="宋体" w:cs="宋体"/>
          <w:b w:val="0"/>
          <w:bCs/>
          <w:color w:val="auto"/>
          <w:sz w:val="24"/>
          <w:szCs w:val="24"/>
          <w:lang w:val="en-US" w:eastAsia="zh-CN"/>
        </w:rPr>
        <w:t>投标</w:t>
      </w:r>
      <w:r>
        <w:rPr>
          <w:rFonts w:hint="eastAsia" w:ascii="宋体" w:hAnsi="宋体" w:cs="宋体"/>
          <w:b w:val="0"/>
          <w:bCs/>
          <w:color w:val="auto"/>
          <w:sz w:val="24"/>
          <w:szCs w:val="24"/>
        </w:rPr>
        <w:t>文件撤回之前，不做以下任何事项</w:t>
      </w:r>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宋体" w:hAnsi="宋体" w:cs="宋体"/>
          <w:b w:val="0"/>
          <w:bCs/>
          <w:color w:val="auto"/>
          <w:sz w:val="24"/>
          <w:szCs w:val="24"/>
        </w:rPr>
      </w:pPr>
      <w:r>
        <w:rPr>
          <w:rFonts w:hint="eastAsia" w:ascii="宋体" w:hAnsi="宋体" w:cs="宋体"/>
          <w:b w:val="0"/>
          <w:bCs/>
          <w:color w:val="auto"/>
          <w:sz w:val="24"/>
          <w:szCs w:val="24"/>
        </w:rPr>
        <w:t>(1)向采购人以外的人员泄漏</w:t>
      </w:r>
      <w:r>
        <w:rPr>
          <w:rFonts w:hint="eastAsia" w:ascii="宋体" w:hAnsi="宋体" w:cs="宋体"/>
          <w:b w:val="0"/>
          <w:bCs/>
          <w:color w:val="auto"/>
          <w:sz w:val="24"/>
          <w:szCs w:val="24"/>
          <w:lang w:val="en-US" w:eastAsia="zh-CN"/>
        </w:rPr>
        <w:t>招标</w:t>
      </w:r>
      <w:r>
        <w:rPr>
          <w:rFonts w:hint="eastAsia" w:ascii="宋体" w:hAnsi="宋体" w:cs="宋体"/>
          <w:b w:val="0"/>
          <w:bCs/>
          <w:color w:val="auto"/>
          <w:sz w:val="24"/>
          <w:szCs w:val="24"/>
        </w:rPr>
        <w:t>情况</w:t>
      </w:r>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宋体" w:hAnsi="宋体" w:cs="宋体"/>
          <w:b w:val="0"/>
          <w:bCs/>
          <w:color w:val="auto"/>
          <w:sz w:val="24"/>
          <w:szCs w:val="24"/>
        </w:rPr>
      </w:pPr>
      <w:r>
        <w:rPr>
          <w:rFonts w:hint="eastAsia" w:ascii="宋体" w:hAnsi="宋体" w:cs="宋体"/>
          <w:b w:val="0"/>
          <w:bCs/>
          <w:color w:val="auto"/>
          <w:sz w:val="24"/>
          <w:szCs w:val="24"/>
        </w:rPr>
        <w:t>(2)与其他参与本次</w:t>
      </w:r>
      <w:r>
        <w:rPr>
          <w:rFonts w:hint="eastAsia" w:ascii="宋体" w:hAnsi="宋体" w:cs="宋体"/>
          <w:b w:val="0"/>
          <w:bCs/>
          <w:color w:val="auto"/>
          <w:sz w:val="24"/>
          <w:szCs w:val="24"/>
          <w:lang w:val="en-US" w:eastAsia="zh-CN"/>
        </w:rPr>
        <w:t>招标</w:t>
      </w:r>
      <w:r>
        <w:rPr>
          <w:rFonts w:hint="eastAsia" w:ascii="宋体" w:hAnsi="宋体" w:cs="宋体"/>
          <w:b w:val="0"/>
          <w:bCs/>
          <w:color w:val="auto"/>
          <w:sz w:val="24"/>
          <w:szCs w:val="24"/>
        </w:rPr>
        <w:t>的人达成可能限制竞争的协议</w:t>
      </w:r>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宋体" w:hAnsi="宋体" w:cs="宋体"/>
          <w:b w:val="0"/>
          <w:bCs/>
          <w:color w:val="auto"/>
          <w:sz w:val="24"/>
          <w:szCs w:val="24"/>
        </w:rPr>
      </w:pPr>
      <w:r>
        <w:rPr>
          <w:rFonts w:hint="eastAsia" w:ascii="宋体" w:hAnsi="宋体" w:cs="宋体"/>
          <w:b w:val="0"/>
          <w:bCs/>
          <w:color w:val="auto"/>
          <w:sz w:val="24"/>
          <w:szCs w:val="24"/>
        </w:rPr>
        <w:t>(3)为影响</w:t>
      </w:r>
      <w:r>
        <w:rPr>
          <w:rFonts w:hint="eastAsia" w:ascii="宋体" w:hAnsi="宋体" w:cs="宋体"/>
          <w:b w:val="0"/>
          <w:bCs/>
          <w:color w:val="auto"/>
          <w:sz w:val="24"/>
          <w:szCs w:val="24"/>
          <w:lang w:val="en-US" w:eastAsia="zh-CN"/>
        </w:rPr>
        <w:t>招标</w:t>
      </w:r>
      <w:r>
        <w:rPr>
          <w:rFonts w:hint="eastAsia" w:ascii="宋体" w:hAnsi="宋体" w:cs="宋体"/>
          <w:b w:val="0"/>
          <w:bCs/>
          <w:color w:val="auto"/>
          <w:sz w:val="24"/>
          <w:szCs w:val="24"/>
        </w:rPr>
        <w:t>而向有关采购当事者提供金钱、物质及服务</w:t>
      </w:r>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保证所投产品来自合法的供货渠道，若中标，则有义务向采购人提供其需要的有效书面证明材料。如果提供非法渠道的商品，视为欺诈，根据《中华人民共和国消费者权益保护法》承担商品价值双倍的赔偿；同时承担采购人依据现行的国家法律法规追究的其他责任。</w:t>
      </w:r>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宋体" w:hAnsi="宋体" w:cs="宋体"/>
          <w:b w:val="0"/>
          <w:bCs/>
          <w:color w:val="auto"/>
          <w:sz w:val="24"/>
          <w:szCs w:val="24"/>
          <w:lang w:eastAsia="zh-CN"/>
        </w:rPr>
      </w:pPr>
      <w:r>
        <w:rPr>
          <w:rFonts w:hint="eastAsia" w:ascii="宋体" w:hAnsi="宋体" w:cs="宋体"/>
          <w:b w:val="0"/>
          <w:bCs/>
          <w:color w:val="auto"/>
          <w:sz w:val="24"/>
          <w:szCs w:val="24"/>
          <w:lang w:val="en-US" w:eastAsia="zh-CN"/>
        </w:rPr>
        <w:t>4.</w:t>
      </w:r>
      <w:r>
        <w:rPr>
          <w:rFonts w:hint="eastAsia" w:ascii="宋体" w:hAnsi="宋体" w:cs="宋体"/>
          <w:b w:val="0"/>
          <w:bCs/>
          <w:color w:val="auto"/>
          <w:sz w:val="24"/>
          <w:szCs w:val="24"/>
        </w:rPr>
        <w:t>保证递交的</w:t>
      </w:r>
      <w:r>
        <w:rPr>
          <w:rFonts w:hint="eastAsia" w:ascii="宋体" w:hAnsi="宋体" w:cs="宋体"/>
          <w:b w:val="0"/>
          <w:bCs/>
          <w:color w:val="auto"/>
          <w:sz w:val="24"/>
          <w:szCs w:val="24"/>
          <w:lang w:val="en-US" w:eastAsia="zh-CN"/>
        </w:rPr>
        <w:t>投标</w:t>
      </w:r>
      <w:r>
        <w:rPr>
          <w:rFonts w:hint="eastAsia" w:ascii="宋体" w:hAnsi="宋体" w:cs="宋体"/>
          <w:b w:val="0"/>
          <w:bCs/>
          <w:color w:val="auto"/>
          <w:sz w:val="24"/>
          <w:szCs w:val="24"/>
        </w:rPr>
        <w:t>文件不提供虚假材料，否则列入不良行为记录名单，一至三年内禁止参加采购活动。以下材料或情形之一不实的均视为提供虚假材料</w:t>
      </w:r>
      <w:r>
        <w:rPr>
          <w:rFonts w:hint="eastAsia" w:ascii="宋体" w:hAnsi="宋体" w:cs="宋体"/>
          <w:b w:val="0"/>
          <w:bCs/>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宋体" w:hAnsi="宋体" w:eastAsia="宋体" w:cs="宋体"/>
          <w:b w:val="0"/>
          <w:bCs/>
          <w:color w:val="auto"/>
          <w:sz w:val="24"/>
          <w:szCs w:val="24"/>
          <w:lang w:eastAsia="zh-CN"/>
        </w:rPr>
      </w:pPr>
      <w:r>
        <w:rPr>
          <w:rFonts w:hint="eastAsia" w:ascii="宋体" w:hAnsi="宋体" w:cs="宋体"/>
          <w:b w:val="0"/>
          <w:bCs/>
          <w:color w:val="auto"/>
          <w:sz w:val="24"/>
          <w:szCs w:val="24"/>
        </w:rPr>
        <w:t>(1)</w:t>
      </w:r>
      <w:r>
        <w:rPr>
          <w:rFonts w:hint="eastAsia" w:ascii="宋体" w:hAnsi="宋体" w:cs="宋体"/>
          <w:b w:val="0"/>
          <w:bCs/>
          <w:color w:val="auto"/>
          <w:sz w:val="24"/>
          <w:szCs w:val="24"/>
          <w:lang w:val="en-US" w:eastAsia="zh-CN"/>
        </w:rPr>
        <w:t>投标</w:t>
      </w:r>
      <w:r>
        <w:rPr>
          <w:rFonts w:hint="eastAsia" w:ascii="宋体" w:hAnsi="宋体" w:cs="宋体"/>
          <w:b w:val="0"/>
          <w:bCs/>
          <w:color w:val="auto"/>
          <w:sz w:val="24"/>
          <w:szCs w:val="24"/>
        </w:rPr>
        <w:t>价格；(2)</w:t>
      </w:r>
      <w:r>
        <w:rPr>
          <w:rFonts w:hint="eastAsia" w:ascii="宋体" w:hAnsi="宋体" w:cs="宋体"/>
          <w:b w:val="0"/>
          <w:bCs/>
          <w:color w:val="auto"/>
          <w:sz w:val="24"/>
          <w:szCs w:val="24"/>
          <w:lang w:val="en-US" w:eastAsia="zh-CN"/>
        </w:rPr>
        <w:t>供货期</w:t>
      </w:r>
      <w:r>
        <w:rPr>
          <w:rFonts w:hint="eastAsia" w:ascii="宋体" w:hAnsi="宋体" w:cs="宋体"/>
          <w:b w:val="0"/>
          <w:bCs/>
          <w:color w:val="auto"/>
          <w:sz w:val="24"/>
          <w:szCs w:val="24"/>
          <w:lang w:eastAsia="zh-CN"/>
        </w:rPr>
        <w:t>；</w:t>
      </w:r>
      <w:r>
        <w:rPr>
          <w:rFonts w:hint="eastAsia" w:ascii="宋体" w:hAnsi="宋体" w:cs="宋体"/>
          <w:b w:val="0"/>
          <w:bCs/>
          <w:color w:val="auto"/>
          <w:sz w:val="24"/>
          <w:szCs w:val="24"/>
        </w:rPr>
        <w:t>(3)业绩</w:t>
      </w:r>
      <w:r>
        <w:rPr>
          <w:rFonts w:hint="eastAsia" w:ascii="宋体" w:hAnsi="宋体" w:cs="宋体"/>
          <w:b w:val="0"/>
          <w:bCs/>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宋体" w:hAnsi="宋体" w:cs="宋体"/>
          <w:b w:val="0"/>
          <w:bCs/>
          <w:color w:val="auto"/>
          <w:sz w:val="24"/>
          <w:szCs w:val="24"/>
        </w:rPr>
      </w:pPr>
      <w:r>
        <w:rPr>
          <w:rFonts w:hint="eastAsia" w:ascii="宋体" w:hAnsi="宋体" w:cs="宋体"/>
          <w:b w:val="0"/>
          <w:bCs/>
          <w:color w:val="auto"/>
          <w:sz w:val="24"/>
          <w:szCs w:val="24"/>
        </w:rPr>
        <w:t>(4)资质文件(5)技木响应；(6)服务及履约情况</w:t>
      </w:r>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宋体" w:hAnsi="宋体" w:cs="宋体"/>
          <w:b w:val="0"/>
          <w:bCs/>
          <w:color w:val="auto"/>
          <w:sz w:val="24"/>
          <w:szCs w:val="24"/>
        </w:rPr>
      </w:pPr>
      <w:r>
        <w:rPr>
          <w:rFonts w:hint="eastAsia" w:ascii="宋体" w:hAnsi="宋体" w:cs="宋体"/>
          <w:b w:val="0"/>
          <w:bCs/>
          <w:color w:val="auto"/>
          <w:sz w:val="24"/>
          <w:szCs w:val="24"/>
        </w:rPr>
        <w:t>(7)</w:t>
      </w:r>
      <w:r>
        <w:rPr>
          <w:rFonts w:hint="eastAsia" w:ascii="宋体" w:hAnsi="宋体" w:cs="宋体"/>
          <w:b w:val="0"/>
          <w:bCs/>
          <w:color w:val="auto"/>
          <w:sz w:val="24"/>
          <w:szCs w:val="24"/>
          <w:lang w:val="en-US" w:eastAsia="zh-CN"/>
        </w:rPr>
        <w:t>招标</w:t>
      </w:r>
      <w:r>
        <w:rPr>
          <w:rFonts w:hint="eastAsia" w:ascii="宋体" w:hAnsi="宋体" w:cs="宋体"/>
          <w:b w:val="0"/>
          <w:bCs/>
          <w:color w:val="auto"/>
          <w:sz w:val="24"/>
          <w:szCs w:val="24"/>
        </w:rPr>
        <w:t>文件要求须提供的文件、资料、图片等相关材料。</w:t>
      </w:r>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宋体" w:hAnsi="宋体" w:cs="宋体"/>
          <w:b w:val="0"/>
          <w:bCs/>
          <w:color w:val="auto"/>
          <w:sz w:val="24"/>
          <w:szCs w:val="24"/>
        </w:rPr>
      </w:pPr>
      <w:r>
        <w:rPr>
          <w:rFonts w:hint="eastAsia" w:ascii="宋体" w:hAnsi="宋体" w:cs="宋体"/>
          <w:b w:val="0"/>
          <w:bCs/>
          <w:color w:val="auto"/>
          <w:sz w:val="24"/>
          <w:szCs w:val="24"/>
        </w:rPr>
        <w:t>特此承诺</w:t>
      </w:r>
    </w:p>
    <w:p>
      <w:pPr>
        <w:jc w:val="center"/>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 xml:space="preserve">                                        </w:t>
      </w:r>
    </w:p>
    <w:p>
      <w:pPr>
        <w:jc w:val="center"/>
        <w:rPr>
          <w:rFonts w:hint="eastAsia" w:ascii="宋体" w:hAnsi="宋体" w:eastAsia="宋体" w:cs="宋体"/>
          <w:b w:val="0"/>
          <w:bCs/>
          <w:color w:val="auto"/>
          <w:sz w:val="24"/>
          <w:szCs w:val="24"/>
          <w:lang w:eastAsia="zh-CN"/>
        </w:rPr>
      </w:pPr>
      <w:r>
        <w:rPr>
          <w:rFonts w:hint="eastAsia" w:ascii="宋体" w:hAnsi="宋体" w:cs="宋体"/>
          <w:b w:val="0"/>
          <w:bCs/>
          <w:color w:val="auto"/>
          <w:sz w:val="24"/>
          <w:szCs w:val="24"/>
          <w:lang w:val="en-US" w:eastAsia="zh-CN"/>
        </w:rPr>
        <w:t xml:space="preserve">                                        </w:t>
      </w:r>
      <w:r>
        <w:rPr>
          <w:rFonts w:hint="eastAsia" w:ascii="宋体" w:hAnsi="宋体" w:cs="宋体"/>
          <w:b w:val="0"/>
          <w:bCs/>
          <w:color w:val="auto"/>
          <w:sz w:val="24"/>
          <w:szCs w:val="24"/>
        </w:rPr>
        <w:t>供应商代表签字</w:t>
      </w:r>
      <w:r>
        <w:rPr>
          <w:rFonts w:hint="eastAsia" w:ascii="宋体" w:hAnsi="宋体" w:cs="宋体"/>
          <w:b w:val="0"/>
          <w:bCs/>
          <w:color w:val="auto"/>
          <w:sz w:val="24"/>
          <w:szCs w:val="24"/>
          <w:lang w:eastAsia="zh-CN"/>
        </w:rPr>
        <w:t>：</w:t>
      </w:r>
    </w:p>
    <w:p>
      <w:pPr>
        <w:jc w:val="center"/>
        <w:rPr>
          <w:rFonts w:hint="eastAsia" w:ascii="宋体" w:hAnsi="宋体" w:eastAsia="宋体" w:cs="宋体"/>
          <w:b w:val="0"/>
          <w:bCs/>
          <w:color w:val="auto"/>
          <w:sz w:val="24"/>
          <w:szCs w:val="24"/>
          <w:lang w:eastAsia="zh-CN"/>
        </w:rPr>
      </w:pPr>
      <w:r>
        <w:rPr>
          <w:rFonts w:hint="eastAsia" w:ascii="宋体" w:hAnsi="宋体" w:cs="宋体"/>
          <w:b w:val="0"/>
          <w:bCs/>
          <w:color w:val="auto"/>
          <w:sz w:val="24"/>
          <w:szCs w:val="24"/>
          <w:lang w:val="en-US" w:eastAsia="zh-CN"/>
        </w:rPr>
        <w:t xml:space="preserve">                                       </w:t>
      </w:r>
      <w:r>
        <w:rPr>
          <w:rFonts w:hint="eastAsia" w:ascii="宋体" w:hAnsi="宋体" w:cs="宋体"/>
          <w:b w:val="0"/>
          <w:bCs/>
          <w:color w:val="auto"/>
          <w:sz w:val="24"/>
          <w:szCs w:val="24"/>
        </w:rPr>
        <w:t>供应商名称(公章)</w:t>
      </w:r>
      <w:r>
        <w:rPr>
          <w:rFonts w:hint="eastAsia" w:ascii="宋体" w:hAnsi="宋体" w:cs="宋体"/>
          <w:b w:val="0"/>
          <w:bCs/>
          <w:color w:val="auto"/>
          <w:sz w:val="24"/>
          <w:szCs w:val="24"/>
          <w:lang w:eastAsia="zh-CN"/>
        </w:rPr>
        <w:t>：</w:t>
      </w:r>
    </w:p>
    <w:p>
      <w:pPr>
        <w:jc w:val="center"/>
        <w:rPr>
          <w:rFonts w:hint="eastAsia" w:ascii="宋体" w:hAnsi="宋体" w:eastAsia="宋体" w:cs="宋体"/>
          <w:b w:val="0"/>
          <w:bCs/>
          <w:color w:val="auto"/>
          <w:sz w:val="24"/>
          <w:szCs w:val="24"/>
          <w:lang w:eastAsia="zh-CN"/>
        </w:rPr>
      </w:pPr>
      <w:r>
        <w:rPr>
          <w:rFonts w:hint="eastAsia" w:ascii="宋体" w:hAnsi="宋体" w:cs="宋体"/>
          <w:b w:val="0"/>
          <w:bCs/>
          <w:color w:val="auto"/>
          <w:sz w:val="24"/>
          <w:szCs w:val="24"/>
          <w:lang w:val="en-US" w:eastAsia="zh-CN"/>
        </w:rPr>
        <w:t xml:space="preserve">                                                  </w:t>
      </w:r>
      <w:r>
        <w:rPr>
          <w:rFonts w:hint="eastAsia" w:ascii="宋体" w:hAnsi="宋体" w:cs="宋体"/>
          <w:b w:val="0"/>
          <w:bCs/>
          <w:color w:val="auto"/>
          <w:sz w:val="24"/>
          <w:szCs w:val="24"/>
        </w:rPr>
        <w:t>日期</w:t>
      </w:r>
      <w:r>
        <w:rPr>
          <w:rFonts w:hint="eastAsia" w:ascii="宋体" w:hAnsi="宋体" w:cs="宋体"/>
          <w:b w:val="0"/>
          <w:bCs/>
          <w:color w:val="auto"/>
          <w:sz w:val="24"/>
          <w:szCs w:val="24"/>
          <w:lang w:eastAsia="zh-CN"/>
        </w:rPr>
        <w:t>：</w:t>
      </w:r>
    </w:p>
    <w:p>
      <w:pPr>
        <w:autoSpaceDN w:val="0"/>
        <w:spacing w:line="360" w:lineRule="auto"/>
        <w:ind w:firstLine="420"/>
        <w:rPr>
          <w:rFonts w:hint="eastAsia" w:ascii="宋体" w:hAnsi="宋体" w:cs="宋体"/>
          <w:b/>
          <w:color w:val="auto"/>
          <w:sz w:val="24"/>
          <w:lang w:val="en-US" w:eastAsia="zh-CN"/>
        </w:rPr>
      </w:pPr>
      <w:r>
        <w:rPr>
          <w:rFonts w:hint="eastAsia" w:ascii="宋体" w:hAnsi="宋体" w:eastAsia="宋体" w:cs="宋体"/>
          <w:b/>
          <w:color w:val="auto"/>
          <w:sz w:val="24"/>
        </w:rPr>
        <w:t>附件</w:t>
      </w:r>
      <w:r>
        <w:rPr>
          <w:rFonts w:hint="eastAsia" w:ascii="宋体" w:hAnsi="宋体" w:eastAsia="宋体" w:cs="宋体"/>
          <w:b/>
          <w:color w:val="auto"/>
          <w:sz w:val="24"/>
          <w:lang w:val="en-US" w:eastAsia="zh-CN"/>
        </w:rPr>
        <w:t>1</w:t>
      </w:r>
      <w:r>
        <w:rPr>
          <w:rFonts w:hint="eastAsia" w:ascii="宋体" w:hAnsi="宋体" w:cs="宋体"/>
          <w:b/>
          <w:color w:val="auto"/>
          <w:sz w:val="24"/>
          <w:lang w:val="en-US" w:eastAsia="zh-CN"/>
        </w:rPr>
        <w:t>5</w:t>
      </w:r>
    </w:p>
    <w:p>
      <w:pPr>
        <w:spacing w:line="360" w:lineRule="auto"/>
        <w:jc w:val="center"/>
        <w:rPr>
          <w:b/>
          <w:color w:val="auto"/>
          <w:sz w:val="24"/>
          <w:szCs w:val="24"/>
        </w:rPr>
      </w:pPr>
      <w:r>
        <w:rPr>
          <w:rFonts w:hint="eastAsia"/>
          <w:b/>
          <w:color w:val="auto"/>
          <w:sz w:val="24"/>
          <w:szCs w:val="24"/>
        </w:rPr>
        <w:t>非联合体投标声明函</w:t>
      </w:r>
    </w:p>
    <w:p>
      <w:pPr>
        <w:spacing w:line="360" w:lineRule="auto"/>
        <w:ind w:firstLine="456" w:firstLineChars="200"/>
        <w:jc w:val="left"/>
        <w:rPr>
          <w:color w:val="auto"/>
          <w:sz w:val="24"/>
          <w:szCs w:val="24"/>
        </w:rPr>
      </w:pPr>
      <w:r>
        <w:rPr>
          <w:rFonts w:hint="eastAsia"/>
          <w:color w:val="auto"/>
          <w:sz w:val="24"/>
          <w:szCs w:val="24"/>
        </w:rPr>
        <w:t>我单位承诺此次投标属于非联合体投标，本公司对声明的真实性负责。如有虚假，将依法承担相应责任。</w:t>
      </w:r>
    </w:p>
    <w:p>
      <w:pPr>
        <w:spacing w:line="360" w:lineRule="auto"/>
        <w:ind w:firstLine="456" w:firstLineChars="200"/>
        <w:jc w:val="left"/>
        <w:rPr>
          <w:b/>
          <w:color w:val="auto"/>
          <w:sz w:val="28"/>
          <w:szCs w:val="28"/>
        </w:rPr>
      </w:pPr>
      <w:r>
        <w:rPr>
          <w:rFonts w:hint="eastAsia"/>
          <w:color w:val="auto"/>
          <w:sz w:val="24"/>
          <w:szCs w:val="24"/>
        </w:rPr>
        <w:t>特此承诺。</w:t>
      </w:r>
    </w:p>
    <w:p>
      <w:pPr>
        <w:autoSpaceDN w:val="0"/>
        <w:spacing w:line="360" w:lineRule="auto"/>
        <w:ind w:firstLine="420"/>
        <w:rPr>
          <w:rFonts w:hint="eastAsia" w:ascii="宋体" w:hAnsi="宋体" w:eastAsia="宋体" w:cs="宋体"/>
          <w:color w:val="auto"/>
          <w:sz w:val="24"/>
          <w:szCs w:val="24"/>
        </w:rPr>
      </w:pPr>
    </w:p>
    <w:p>
      <w:pPr>
        <w:pStyle w:val="43"/>
        <w:rPr>
          <w:rFonts w:hint="eastAsia" w:ascii="宋体" w:hAnsi="宋体" w:eastAsia="宋体" w:cs="宋体"/>
          <w:color w:val="auto"/>
          <w:sz w:val="24"/>
          <w:szCs w:val="24"/>
        </w:rPr>
      </w:pPr>
    </w:p>
    <w:p>
      <w:pPr>
        <w:pStyle w:val="43"/>
        <w:rPr>
          <w:rFonts w:hint="eastAsia" w:ascii="宋体" w:hAnsi="宋体" w:eastAsia="宋体" w:cs="宋体"/>
          <w:color w:val="auto"/>
          <w:sz w:val="24"/>
          <w:szCs w:val="24"/>
        </w:rPr>
      </w:pPr>
    </w:p>
    <w:p>
      <w:pPr>
        <w:pStyle w:val="43"/>
        <w:rPr>
          <w:rFonts w:hint="eastAsia" w:ascii="宋体" w:hAnsi="宋体" w:eastAsia="宋体" w:cs="宋体"/>
          <w:color w:val="auto"/>
          <w:sz w:val="24"/>
          <w:szCs w:val="24"/>
        </w:rPr>
      </w:pPr>
    </w:p>
    <w:p>
      <w:pPr>
        <w:pStyle w:val="43"/>
        <w:rPr>
          <w:rFonts w:hint="eastAsia" w:ascii="宋体" w:hAnsi="宋体" w:eastAsia="宋体" w:cs="宋体"/>
          <w:color w:val="auto"/>
          <w:sz w:val="24"/>
          <w:szCs w:val="24"/>
        </w:rPr>
      </w:pPr>
    </w:p>
    <w:p>
      <w:pPr>
        <w:pStyle w:val="43"/>
        <w:rPr>
          <w:rFonts w:hint="eastAsia" w:ascii="宋体" w:hAnsi="宋体" w:eastAsia="宋体" w:cs="宋体"/>
          <w:color w:val="auto"/>
          <w:sz w:val="24"/>
          <w:szCs w:val="24"/>
        </w:rPr>
      </w:pPr>
    </w:p>
    <w:p>
      <w:pPr>
        <w:pStyle w:val="43"/>
        <w:rPr>
          <w:rFonts w:hint="eastAsia" w:ascii="宋体" w:hAnsi="宋体" w:eastAsia="宋体" w:cs="宋体"/>
          <w:color w:val="auto"/>
          <w:sz w:val="24"/>
          <w:szCs w:val="24"/>
        </w:rPr>
      </w:pPr>
    </w:p>
    <w:p>
      <w:pPr>
        <w:pStyle w:val="43"/>
        <w:rPr>
          <w:rFonts w:hint="eastAsia" w:ascii="宋体" w:hAnsi="宋体" w:eastAsia="宋体" w:cs="宋体"/>
          <w:color w:val="auto"/>
          <w:sz w:val="24"/>
          <w:szCs w:val="24"/>
        </w:rPr>
      </w:pPr>
    </w:p>
    <w:p>
      <w:pPr>
        <w:autoSpaceDN w:val="0"/>
        <w:spacing w:line="360" w:lineRule="auto"/>
        <w:ind w:firstLine="420"/>
        <w:rPr>
          <w:rFonts w:hint="eastAsia" w:ascii="宋体" w:hAnsi="宋体" w:eastAsia="宋体" w:cs="宋体"/>
          <w:color w:val="auto"/>
          <w:sz w:val="24"/>
          <w:szCs w:val="24"/>
        </w:rPr>
      </w:pPr>
    </w:p>
    <w:p>
      <w:pPr>
        <w:spacing w:line="360" w:lineRule="auto"/>
        <w:ind w:firstLine="456" w:firstLineChars="200"/>
        <w:jc w:val="center"/>
        <w:rPr>
          <w:color w:val="auto"/>
          <w:sz w:val="24"/>
          <w:szCs w:val="24"/>
        </w:rPr>
      </w:pPr>
      <w:r>
        <w:rPr>
          <w:rFonts w:hint="eastAsia"/>
          <w:color w:val="auto"/>
          <w:sz w:val="24"/>
          <w:szCs w:val="24"/>
          <w:lang w:val="en-US" w:eastAsia="zh-CN"/>
        </w:rPr>
        <w:t xml:space="preserve">                                </w:t>
      </w:r>
      <w:r>
        <w:rPr>
          <w:rFonts w:hint="eastAsia"/>
          <w:color w:val="auto"/>
          <w:sz w:val="24"/>
          <w:szCs w:val="24"/>
        </w:rPr>
        <w:t>供应商名称（盖章）：</w:t>
      </w:r>
    </w:p>
    <w:p>
      <w:pPr>
        <w:jc w:val="center"/>
        <w:rPr>
          <w:color w:val="auto"/>
        </w:rPr>
      </w:pPr>
      <w:r>
        <w:rPr>
          <w:rFonts w:hint="eastAsia"/>
          <w:color w:val="auto"/>
          <w:sz w:val="24"/>
          <w:szCs w:val="24"/>
          <w:lang w:val="en-US" w:eastAsia="zh-CN"/>
        </w:rPr>
        <w:t xml:space="preserve">                                   </w:t>
      </w:r>
      <w:r>
        <w:rPr>
          <w:rFonts w:hint="eastAsia"/>
          <w:color w:val="auto"/>
          <w:sz w:val="24"/>
          <w:szCs w:val="24"/>
        </w:rPr>
        <w:t>日期：  年  月  日</w:t>
      </w:r>
    </w:p>
    <w:p>
      <w:pPr>
        <w:rPr>
          <w:rFonts w:hint="eastAsia" w:ascii="宋体" w:hAnsi="宋体" w:cs="宋体"/>
          <w:b/>
          <w:color w:val="auto"/>
          <w:sz w:val="24"/>
          <w:szCs w:val="24"/>
        </w:rPr>
      </w:pPr>
    </w:p>
    <w:p>
      <w:pPr>
        <w:rPr>
          <w:rFonts w:hint="eastAsia" w:ascii="宋体" w:hAnsi="宋体" w:cs="宋体"/>
          <w:b/>
          <w:color w:val="auto"/>
          <w:sz w:val="24"/>
          <w:szCs w:val="24"/>
        </w:rPr>
      </w:pPr>
    </w:p>
    <w:p>
      <w:pPr>
        <w:rPr>
          <w:rFonts w:hint="eastAsia" w:ascii="宋体" w:hAnsi="宋体" w:cs="宋体"/>
          <w:b/>
          <w:color w:val="auto"/>
          <w:sz w:val="24"/>
          <w:szCs w:val="24"/>
        </w:rPr>
      </w:pPr>
    </w:p>
    <w:p>
      <w:pPr>
        <w:rPr>
          <w:rFonts w:hint="eastAsia" w:ascii="宋体" w:hAnsi="宋体" w:cs="宋体"/>
          <w:b/>
          <w:color w:val="auto"/>
          <w:sz w:val="24"/>
          <w:szCs w:val="24"/>
        </w:rPr>
      </w:pPr>
    </w:p>
    <w:p>
      <w:pPr>
        <w:rPr>
          <w:rFonts w:hint="eastAsia" w:ascii="宋体" w:hAnsi="宋体" w:cs="宋体"/>
          <w:b/>
          <w:color w:val="auto"/>
          <w:sz w:val="24"/>
          <w:szCs w:val="24"/>
        </w:rPr>
      </w:pPr>
    </w:p>
    <w:p>
      <w:pPr>
        <w:rPr>
          <w:rFonts w:hint="eastAsia" w:ascii="宋体" w:hAnsi="宋体" w:cs="宋体"/>
          <w:b/>
          <w:color w:val="auto"/>
          <w:sz w:val="24"/>
          <w:szCs w:val="24"/>
        </w:rPr>
      </w:pPr>
    </w:p>
    <w:p>
      <w:pPr>
        <w:rPr>
          <w:rFonts w:hint="eastAsia" w:ascii="宋体" w:hAnsi="宋体" w:eastAsia="宋体" w:cs="宋体"/>
          <w:b/>
          <w:color w:val="auto"/>
          <w:sz w:val="24"/>
          <w:szCs w:val="24"/>
          <w:lang w:eastAsia="zh-CN"/>
        </w:rPr>
      </w:pPr>
      <w:r>
        <w:rPr>
          <w:rFonts w:hint="eastAsia" w:ascii="宋体" w:hAnsi="宋体" w:cs="宋体"/>
          <w:b/>
          <w:color w:val="auto"/>
          <w:sz w:val="24"/>
          <w:szCs w:val="24"/>
        </w:rPr>
        <w:t>附件1</w:t>
      </w:r>
      <w:r>
        <w:rPr>
          <w:rFonts w:hint="eastAsia" w:ascii="宋体" w:hAnsi="宋体" w:cs="宋体"/>
          <w:b/>
          <w:color w:val="auto"/>
          <w:sz w:val="24"/>
          <w:szCs w:val="24"/>
          <w:lang w:val="en-US" w:eastAsia="zh-CN"/>
        </w:rPr>
        <w:t>6</w:t>
      </w:r>
    </w:p>
    <w:p>
      <w:pPr>
        <w:jc w:val="center"/>
        <w:rPr>
          <w:rFonts w:ascii="宋体" w:hAnsi="宋体" w:cs="宋体"/>
          <w:b/>
          <w:color w:val="auto"/>
          <w:sz w:val="24"/>
          <w:szCs w:val="24"/>
        </w:rPr>
      </w:pPr>
      <w:r>
        <w:rPr>
          <w:rFonts w:hint="eastAsia" w:ascii="宋体" w:hAnsi="宋体" w:cs="宋体"/>
          <w:b/>
          <w:color w:val="auto"/>
          <w:sz w:val="24"/>
          <w:szCs w:val="24"/>
          <w:lang w:eastAsia="zh-CN"/>
        </w:rPr>
        <w:t>供应商</w:t>
      </w:r>
      <w:r>
        <w:rPr>
          <w:rFonts w:hint="eastAsia" w:ascii="宋体" w:hAnsi="宋体" w:cs="宋体"/>
          <w:b/>
          <w:color w:val="auto"/>
          <w:sz w:val="24"/>
          <w:szCs w:val="24"/>
        </w:rPr>
        <w:t>认为需要提供的其他资料</w:t>
      </w:r>
    </w:p>
    <w:p>
      <w:pPr>
        <w:pStyle w:val="2"/>
        <w:rPr>
          <w:rFonts w:ascii="宋体" w:hAnsi="宋体" w:eastAsia="宋体" w:cs="宋体"/>
          <w:color w:val="auto"/>
        </w:rPr>
      </w:pPr>
    </w:p>
    <w:p>
      <w:pPr>
        <w:pStyle w:val="2"/>
        <w:rPr>
          <w:rFonts w:ascii="宋体" w:hAnsi="宋体" w:eastAsia="宋体" w:cs="宋体"/>
          <w:b/>
          <w:color w:val="auto"/>
          <w:sz w:val="24"/>
          <w:szCs w:val="24"/>
        </w:rPr>
      </w:pPr>
    </w:p>
    <w:p>
      <w:pPr>
        <w:pStyle w:val="2"/>
        <w:rPr>
          <w:rFonts w:ascii="宋体" w:hAnsi="宋体" w:eastAsia="宋体" w:cs="宋体"/>
          <w:b/>
          <w:color w:val="auto"/>
          <w:sz w:val="24"/>
          <w:szCs w:val="24"/>
        </w:rPr>
      </w:pPr>
    </w:p>
    <w:p>
      <w:pPr>
        <w:rPr>
          <w:rFonts w:ascii="宋体" w:hAnsi="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pStyle w:val="2"/>
        <w:rPr>
          <w:rFonts w:ascii="宋体" w:hAnsi="宋体" w:eastAsia="宋体" w:cs="宋体"/>
          <w:color w:val="auto"/>
          <w:sz w:val="24"/>
          <w:szCs w:val="24"/>
        </w:rPr>
      </w:pPr>
    </w:p>
    <w:p>
      <w:pPr>
        <w:snapToGrid w:val="0"/>
        <w:spacing w:line="360" w:lineRule="auto"/>
        <w:rPr>
          <w:rFonts w:hint="eastAsia" w:ascii="宋体" w:hAnsi="宋体" w:cs="宋体"/>
          <w:b/>
          <w:bCs/>
          <w:color w:val="auto"/>
          <w:sz w:val="24"/>
        </w:rPr>
      </w:pPr>
      <w:r>
        <w:rPr>
          <w:rFonts w:hint="eastAsia" w:ascii="宋体" w:hAnsi="宋体" w:cs="宋体"/>
          <w:b/>
          <w:bCs/>
          <w:color w:val="auto"/>
          <w:sz w:val="24"/>
        </w:rPr>
        <w:t>附件1</w:t>
      </w:r>
      <w:r>
        <w:rPr>
          <w:rFonts w:hint="eastAsia" w:ascii="宋体" w:hAnsi="宋体" w:cs="宋体"/>
          <w:b/>
          <w:bCs/>
          <w:color w:val="auto"/>
          <w:sz w:val="24"/>
          <w:lang w:val="en-US" w:eastAsia="zh-CN"/>
        </w:rPr>
        <w:t>7</w:t>
      </w:r>
      <w:r>
        <w:rPr>
          <w:rFonts w:hint="eastAsia" w:ascii="宋体" w:hAnsi="宋体" w:cs="宋体"/>
          <w:b/>
          <w:bCs/>
          <w:color w:val="auto"/>
          <w:sz w:val="24"/>
        </w:rPr>
        <w:t>：验收报告模板（该表格仅供中标供应商在履约合同后使用）</w:t>
      </w:r>
    </w:p>
    <w:p>
      <w:pPr>
        <w:pStyle w:val="2"/>
        <w:keepNext w:val="0"/>
        <w:keepLines w:val="0"/>
        <w:pageBreakBefore w:val="0"/>
        <w:widowControl/>
        <w:kinsoku/>
        <w:wordWrap/>
        <w:overflowPunct/>
        <w:topLinePunct w:val="0"/>
        <w:autoSpaceDE/>
        <w:autoSpaceDN/>
        <w:bidi w:val="0"/>
        <w:adjustRightInd/>
        <w:snapToGrid/>
        <w:spacing w:after="0"/>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合同履约情况验收报告     </w:t>
      </w:r>
    </w:p>
    <w:p>
      <w:pPr>
        <w:pStyle w:val="2"/>
        <w:keepNext w:val="0"/>
        <w:keepLines w:val="0"/>
        <w:pageBreakBefore w:val="0"/>
        <w:widowControl/>
        <w:kinsoku/>
        <w:wordWrap/>
        <w:overflowPunct/>
        <w:topLinePunct w:val="0"/>
        <w:autoSpaceDE/>
        <w:autoSpaceDN/>
        <w:bidi w:val="0"/>
        <w:adjustRightInd/>
        <w:snapToGrid/>
        <w:spacing w:after="0"/>
        <w:jc w:val="right"/>
        <w:textAlignment w:val="auto"/>
        <w:rPr>
          <w:rFonts w:ascii="宋体" w:hAnsi="宋体" w:eastAsia="宋体" w:cs="宋体"/>
          <w:bCs/>
          <w:color w:val="auto"/>
          <w:sz w:val="24"/>
          <w:szCs w:val="24"/>
        </w:rPr>
      </w:pPr>
      <w:r>
        <w:rPr>
          <w:rFonts w:hint="eastAsia" w:ascii="宋体" w:hAnsi="宋体" w:eastAsia="宋体" w:cs="宋体"/>
          <w:bCs/>
          <w:color w:val="auto"/>
          <w:sz w:val="24"/>
          <w:szCs w:val="24"/>
        </w:rPr>
        <w:t>合同编号：</w:t>
      </w:r>
    </w:p>
    <w:tbl>
      <w:tblPr>
        <w:tblStyle w:val="30"/>
        <w:tblW w:w="9351"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261"/>
        <w:gridCol w:w="141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96" w:type="dxa"/>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宋体" w:hAnsi="宋体" w:cs="宋体"/>
                <w:color w:val="auto"/>
                <w:sz w:val="24"/>
              </w:rPr>
            </w:pPr>
            <w:r>
              <w:rPr>
                <w:rFonts w:hint="eastAsia" w:ascii="宋体" w:hAnsi="宋体" w:cs="宋体"/>
                <w:color w:val="auto"/>
                <w:sz w:val="24"/>
              </w:rPr>
              <w:t>项目名称</w:t>
            </w:r>
          </w:p>
        </w:tc>
        <w:tc>
          <w:tcPr>
            <w:tcW w:w="7655" w:type="dxa"/>
            <w:gridSpan w:val="3"/>
            <w:vAlign w:val="center"/>
          </w:tcPr>
          <w:p>
            <w:pPr>
              <w:keepNext w:val="0"/>
              <w:keepLines w:val="0"/>
              <w:pageBreakBefore w:val="0"/>
              <w:widowControl/>
              <w:kinsoku/>
              <w:wordWrap/>
              <w:overflowPunct/>
              <w:topLinePunct w:val="0"/>
              <w:autoSpaceDE/>
              <w:autoSpaceDN/>
              <w:bidi w:val="0"/>
              <w:adjustRightInd/>
              <w:snapToGrid/>
              <w:spacing w:after="0"/>
              <w:textAlignment w:val="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96" w:type="dxa"/>
            <w:vAlign w:val="center"/>
          </w:tcPr>
          <w:p>
            <w:pPr>
              <w:jc w:val="center"/>
              <w:rPr>
                <w:rFonts w:ascii="宋体" w:hAnsi="宋体" w:cs="宋体"/>
                <w:color w:val="auto"/>
                <w:sz w:val="24"/>
              </w:rPr>
            </w:pPr>
            <w:r>
              <w:rPr>
                <w:rFonts w:hint="eastAsia" w:ascii="宋体" w:hAnsi="宋体" w:cs="宋体"/>
                <w:color w:val="auto"/>
                <w:sz w:val="24"/>
              </w:rPr>
              <w:t>采购内容</w:t>
            </w:r>
          </w:p>
        </w:tc>
        <w:tc>
          <w:tcPr>
            <w:tcW w:w="3261" w:type="dxa"/>
            <w:vAlign w:val="center"/>
          </w:tcPr>
          <w:p>
            <w:pPr>
              <w:rPr>
                <w:rFonts w:ascii="宋体" w:hAnsi="宋体" w:cs="宋体"/>
                <w:color w:val="auto"/>
                <w:szCs w:val="21"/>
              </w:rPr>
            </w:pPr>
          </w:p>
        </w:tc>
        <w:tc>
          <w:tcPr>
            <w:tcW w:w="1417" w:type="dxa"/>
            <w:vAlign w:val="center"/>
          </w:tcPr>
          <w:p>
            <w:pPr>
              <w:jc w:val="center"/>
              <w:rPr>
                <w:rFonts w:ascii="宋体" w:hAnsi="宋体" w:cs="宋体"/>
                <w:color w:val="auto"/>
                <w:sz w:val="24"/>
              </w:rPr>
            </w:pPr>
            <w:r>
              <w:rPr>
                <w:rFonts w:hint="eastAsia" w:ascii="宋体" w:hAnsi="宋体" w:cs="宋体"/>
                <w:color w:val="auto"/>
                <w:sz w:val="24"/>
              </w:rPr>
              <w:t>合同金额</w:t>
            </w:r>
          </w:p>
        </w:tc>
        <w:tc>
          <w:tcPr>
            <w:tcW w:w="2977" w:type="dxa"/>
            <w:vAlign w:val="center"/>
          </w:tcPr>
          <w:p>
            <w:pP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696" w:type="dxa"/>
            <w:vAlign w:val="center"/>
          </w:tcPr>
          <w:p>
            <w:pPr>
              <w:jc w:val="center"/>
              <w:rPr>
                <w:rFonts w:ascii="宋体" w:hAnsi="宋体" w:cs="宋体"/>
                <w:color w:val="auto"/>
                <w:sz w:val="24"/>
              </w:rPr>
            </w:pPr>
            <w:r>
              <w:rPr>
                <w:rFonts w:hint="eastAsia" w:ascii="宋体" w:hAnsi="宋体" w:cs="宋体"/>
                <w:color w:val="auto"/>
                <w:sz w:val="24"/>
              </w:rPr>
              <w:t>合同签订日期</w:t>
            </w:r>
          </w:p>
        </w:tc>
        <w:tc>
          <w:tcPr>
            <w:tcW w:w="3261" w:type="dxa"/>
            <w:vAlign w:val="center"/>
          </w:tcPr>
          <w:p>
            <w:pPr>
              <w:ind w:firstLine="912" w:firstLineChars="400"/>
              <w:rPr>
                <w:rFonts w:ascii="宋体" w:hAnsi="宋体" w:cs="宋体"/>
                <w:color w:val="auto"/>
                <w:sz w:val="24"/>
              </w:rPr>
            </w:pPr>
            <w:r>
              <w:rPr>
                <w:rFonts w:hint="eastAsia" w:ascii="宋体" w:hAnsi="宋体" w:cs="宋体"/>
                <w:color w:val="auto"/>
                <w:sz w:val="24"/>
              </w:rPr>
              <w:t>年  月  日</w:t>
            </w:r>
          </w:p>
        </w:tc>
        <w:tc>
          <w:tcPr>
            <w:tcW w:w="1417" w:type="dxa"/>
            <w:vAlign w:val="center"/>
          </w:tcPr>
          <w:p>
            <w:pPr>
              <w:jc w:val="center"/>
              <w:rPr>
                <w:rFonts w:ascii="宋体" w:hAnsi="宋体" w:cs="宋体"/>
                <w:color w:val="auto"/>
                <w:sz w:val="24"/>
              </w:rPr>
            </w:pPr>
            <w:r>
              <w:rPr>
                <w:rFonts w:hint="eastAsia" w:ascii="宋体" w:hAnsi="宋体" w:cs="宋体"/>
                <w:color w:val="auto"/>
                <w:sz w:val="24"/>
              </w:rPr>
              <w:t>验收日期</w:t>
            </w:r>
          </w:p>
        </w:tc>
        <w:tc>
          <w:tcPr>
            <w:tcW w:w="2977" w:type="dxa"/>
            <w:vAlign w:val="center"/>
          </w:tcPr>
          <w:p>
            <w:pPr>
              <w:ind w:firstLine="456" w:firstLineChars="200"/>
              <w:rPr>
                <w:rFonts w:ascii="宋体" w:hAnsi="宋体" w:cs="宋体"/>
                <w:color w:val="auto"/>
                <w:sz w:val="24"/>
              </w:rPr>
            </w:pPr>
            <w:r>
              <w:rPr>
                <w:rFonts w:hint="eastAsia" w:ascii="宋体" w:hAnsi="宋体" w:cs="宋体"/>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96" w:type="dxa"/>
            <w:vAlign w:val="center"/>
          </w:tcPr>
          <w:p>
            <w:pPr>
              <w:jc w:val="center"/>
              <w:rPr>
                <w:rFonts w:ascii="宋体" w:hAnsi="宋体" w:cs="宋体"/>
                <w:color w:val="auto"/>
                <w:sz w:val="24"/>
              </w:rPr>
            </w:pPr>
            <w:r>
              <w:rPr>
                <w:rFonts w:hint="eastAsia" w:ascii="宋体" w:hAnsi="宋体" w:cs="宋体"/>
                <w:color w:val="auto"/>
                <w:sz w:val="24"/>
              </w:rPr>
              <w:t>采购人</w:t>
            </w:r>
          </w:p>
        </w:tc>
        <w:tc>
          <w:tcPr>
            <w:tcW w:w="3261" w:type="dxa"/>
            <w:vAlign w:val="center"/>
          </w:tcPr>
          <w:p>
            <w:pPr>
              <w:rPr>
                <w:rFonts w:ascii="宋体" w:hAnsi="宋体" w:cs="宋体"/>
                <w:color w:val="auto"/>
                <w:szCs w:val="21"/>
              </w:rPr>
            </w:pPr>
          </w:p>
        </w:tc>
        <w:tc>
          <w:tcPr>
            <w:tcW w:w="1417" w:type="dxa"/>
            <w:vAlign w:val="center"/>
          </w:tcPr>
          <w:p>
            <w:pPr>
              <w:jc w:val="center"/>
              <w:rPr>
                <w:rFonts w:ascii="宋体" w:hAnsi="宋体" w:cs="宋体"/>
                <w:color w:val="auto"/>
                <w:sz w:val="24"/>
              </w:rPr>
            </w:pPr>
            <w:r>
              <w:rPr>
                <w:rFonts w:hint="eastAsia" w:ascii="宋体" w:hAnsi="宋体" w:cs="宋体"/>
                <w:color w:val="auto"/>
                <w:sz w:val="24"/>
              </w:rPr>
              <w:t>供应商</w:t>
            </w:r>
          </w:p>
        </w:tc>
        <w:tc>
          <w:tcPr>
            <w:tcW w:w="2977" w:type="dxa"/>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trPr>
        <w:tc>
          <w:tcPr>
            <w:tcW w:w="1696" w:type="dxa"/>
            <w:textDirection w:val="tbRlV"/>
            <w:vAlign w:val="center"/>
          </w:tcPr>
          <w:p>
            <w:pPr>
              <w:ind w:left="113" w:right="113"/>
              <w:rPr>
                <w:rFonts w:ascii="宋体" w:hAnsi="宋体" w:cs="宋体"/>
                <w:color w:val="auto"/>
                <w:sz w:val="24"/>
              </w:rPr>
            </w:pPr>
          </w:p>
          <w:p>
            <w:pPr>
              <w:ind w:left="113" w:right="113"/>
              <w:jc w:val="center"/>
              <w:rPr>
                <w:rFonts w:ascii="宋体" w:hAnsi="宋体" w:cs="宋体"/>
                <w:color w:val="auto"/>
                <w:sz w:val="24"/>
              </w:rPr>
            </w:pPr>
            <w:r>
              <w:rPr>
                <w:rFonts w:hint="eastAsia" w:ascii="宋体" w:hAnsi="宋体" w:cs="宋体"/>
                <w:color w:val="auto"/>
                <w:sz w:val="24"/>
              </w:rPr>
              <w:t xml:space="preserve"> 用户意见</w:t>
            </w:r>
          </w:p>
        </w:tc>
        <w:tc>
          <w:tcPr>
            <w:tcW w:w="7655" w:type="dxa"/>
            <w:gridSpan w:val="3"/>
            <w:vAlign w:val="center"/>
          </w:tcPr>
          <w:p>
            <w:pPr>
              <w:rPr>
                <w:rFonts w:ascii="宋体" w:hAnsi="宋体" w:cs="宋体"/>
                <w:color w:val="auto"/>
              </w:rPr>
            </w:pPr>
          </w:p>
          <w:p>
            <w:pPr>
              <w:ind w:firstLine="4784" w:firstLineChars="2300"/>
              <w:rPr>
                <w:rFonts w:ascii="宋体" w:hAnsi="宋体" w:cs="宋体"/>
                <w:color w:val="auto"/>
              </w:rPr>
            </w:pPr>
            <w:r>
              <w:rPr>
                <w:rFonts w:hint="eastAsia" w:ascii="宋体" w:hAnsi="宋体" w:cs="宋体"/>
                <w:color w:val="auto"/>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trPr>
        <w:tc>
          <w:tcPr>
            <w:tcW w:w="1696" w:type="dxa"/>
            <w:textDirection w:val="tbRlV"/>
            <w:vAlign w:val="center"/>
          </w:tcPr>
          <w:p>
            <w:pPr>
              <w:ind w:left="113" w:right="113"/>
              <w:rPr>
                <w:rFonts w:ascii="宋体" w:hAnsi="宋体" w:cs="宋体"/>
                <w:color w:val="auto"/>
                <w:sz w:val="24"/>
              </w:rPr>
            </w:pPr>
          </w:p>
          <w:p>
            <w:pPr>
              <w:ind w:left="113" w:right="113"/>
              <w:jc w:val="center"/>
              <w:rPr>
                <w:rFonts w:ascii="宋体" w:hAnsi="宋体" w:cs="宋体"/>
                <w:color w:val="auto"/>
                <w:sz w:val="24"/>
              </w:rPr>
            </w:pPr>
            <w:r>
              <w:rPr>
                <w:rFonts w:hint="eastAsia" w:ascii="宋体" w:hAnsi="宋体" w:cs="宋体"/>
                <w:color w:val="auto"/>
                <w:sz w:val="24"/>
              </w:rPr>
              <w:t>供应商意见</w:t>
            </w:r>
          </w:p>
        </w:tc>
        <w:tc>
          <w:tcPr>
            <w:tcW w:w="7655" w:type="dxa"/>
            <w:gridSpan w:val="3"/>
            <w:vAlign w:val="center"/>
          </w:tcPr>
          <w:p>
            <w:pPr>
              <w:rPr>
                <w:rFonts w:ascii="宋体" w:hAnsi="宋体" w:cs="宋体"/>
                <w:color w:val="auto"/>
              </w:rPr>
            </w:pPr>
          </w:p>
          <w:p>
            <w:pPr>
              <w:ind w:firstLine="4784" w:firstLineChars="2300"/>
              <w:rPr>
                <w:rFonts w:ascii="宋体" w:hAnsi="宋体" w:cs="宋体"/>
                <w:color w:val="auto"/>
              </w:rPr>
            </w:pPr>
            <w:r>
              <w:rPr>
                <w:rFonts w:hint="eastAsia" w:ascii="宋体" w:hAnsi="宋体" w:cs="宋体"/>
                <w:color w:val="auto"/>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trPr>
        <w:tc>
          <w:tcPr>
            <w:tcW w:w="1696" w:type="dxa"/>
            <w:textDirection w:val="tbRlV"/>
            <w:vAlign w:val="center"/>
          </w:tcPr>
          <w:p>
            <w:pPr>
              <w:ind w:left="113" w:right="113"/>
              <w:rPr>
                <w:rFonts w:ascii="宋体" w:hAnsi="宋体" w:cs="宋体"/>
                <w:color w:val="auto"/>
                <w:sz w:val="24"/>
              </w:rPr>
            </w:pPr>
          </w:p>
          <w:p>
            <w:pPr>
              <w:ind w:left="113" w:right="113"/>
              <w:jc w:val="center"/>
              <w:rPr>
                <w:rFonts w:ascii="宋体" w:hAnsi="宋体" w:cs="宋体"/>
                <w:color w:val="auto"/>
                <w:sz w:val="24"/>
              </w:rPr>
            </w:pPr>
            <w:r>
              <w:rPr>
                <w:rFonts w:hint="eastAsia" w:ascii="宋体" w:hAnsi="宋体" w:cs="宋体"/>
                <w:color w:val="auto"/>
                <w:sz w:val="24"/>
              </w:rPr>
              <w:t>监理意见</w:t>
            </w:r>
          </w:p>
        </w:tc>
        <w:tc>
          <w:tcPr>
            <w:tcW w:w="7655" w:type="dxa"/>
            <w:gridSpan w:val="3"/>
            <w:vAlign w:val="center"/>
          </w:tcPr>
          <w:p>
            <w:pPr>
              <w:rPr>
                <w:rFonts w:ascii="宋体" w:hAnsi="宋体" w:cs="宋体"/>
                <w:color w:val="auto"/>
              </w:rPr>
            </w:pPr>
          </w:p>
          <w:p>
            <w:pPr>
              <w:ind w:firstLine="4784" w:firstLineChars="2300"/>
              <w:rPr>
                <w:rFonts w:ascii="宋体" w:hAnsi="宋体" w:cs="宋体"/>
                <w:color w:val="auto"/>
              </w:rPr>
            </w:pPr>
            <w:r>
              <w:rPr>
                <w:rFonts w:hint="eastAsia" w:ascii="宋体" w:hAnsi="宋体" w:cs="宋体"/>
                <w:color w:val="auto"/>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1696" w:type="dxa"/>
            <w:textDirection w:val="tbRlV"/>
            <w:vAlign w:val="center"/>
          </w:tcPr>
          <w:p>
            <w:pPr>
              <w:ind w:left="113" w:right="113"/>
              <w:rPr>
                <w:rFonts w:ascii="宋体" w:hAnsi="宋体" w:cs="宋体"/>
                <w:color w:val="auto"/>
                <w:sz w:val="24"/>
              </w:rPr>
            </w:pPr>
          </w:p>
          <w:p>
            <w:pPr>
              <w:ind w:left="113" w:right="113"/>
              <w:jc w:val="center"/>
              <w:rPr>
                <w:rFonts w:ascii="宋体" w:hAnsi="宋体" w:cs="宋体"/>
                <w:color w:val="auto"/>
                <w:sz w:val="24"/>
              </w:rPr>
            </w:pPr>
            <w:r>
              <w:rPr>
                <w:rFonts w:hint="eastAsia" w:ascii="宋体" w:hAnsi="宋体" w:cs="宋体"/>
                <w:color w:val="auto"/>
                <w:sz w:val="24"/>
              </w:rPr>
              <w:t>专家意见</w:t>
            </w:r>
          </w:p>
        </w:tc>
        <w:tc>
          <w:tcPr>
            <w:tcW w:w="7655" w:type="dxa"/>
            <w:gridSpan w:val="3"/>
            <w:vAlign w:val="center"/>
          </w:tcPr>
          <w:p>
            <w:pPr>
              <w:rPr>
                <w:rFonts w:ascii="宋体" w:hAnsi="宋体" w:cs="宋体"/>
                <w:color w:val="auto"/>
              </w:rPr>
            </w:pPr>
          </w:p>
          <w:p>
            <w:pPr>
              <w:ind w:firstLine="4784" w:firstLineChars="2300"/>
              <w:rPr>
                <w:rFonts w:ascii="宋体" w:hAnsi="宋体" w:cs="宋体"/>
                <w:color w:val="auto"/>
              </w:rPr>
            </w:pPr>
            <w:r>
              <w:rPr>
                <w:rFonts w:hint="eastAsia" w:ascii="宋体" w:hAnsi="宋体" w:cs="宋体"/>
                <w:color w:val="auto"/>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1696" w:type="dxa"/>
            <w:textDirection w:val="tbRlV"/>
            <w:vAlign w:val="center"/>
          </w:tcPr>
          <w:p>
            <w:pPr>
              <w:ind w:left="113" w:right="113"/>
              <w:rPr>
                <w:rFonts w:ascii="宋体" w:hAnsi="宋体" w:cs="宋体"/>
                <w:color w:val="auto"/>
                <w:sz w:val="24"/>
              </w:rPr>
            </w:pPr>
          </w:p>
          <w:p>
            <w:pPr>
              <w:ind w:left="113" w:right="113"/>
              <w:jc w:val="center"/>
              <w:rPr>
                <w:rFonts w:ascii="宋体" w:hAnsi="宋体" w:cs="宋体"/>
                <w:color w:val="auto"/>
                <w:sz w:val="24"/>
              </w:rPr>
            </w:pPr>
            <w:r>
              <w:rPr>
                <w:rFonts w:hint="eastAsia" w:ascii="宋体" w:hAnsi="宋体" w:cs="宋体"/>
                <w:color w:val="auto"/>
                <w:sz w:val="24"/>
              </w:rPr>
              <w:t>验收概述</w:t>
            </w:r>
          </w:p>
        </w:tc>
        <w:tc>
          <w:tcPr>
            <w:tcW w:w="7655" w:type="dxa"/>
            <w:gridSpan w:val="3"/>
            <w:vAlign w:val="center"/>
          </w:tcPr>
          <w:p>
            <w:pPr>
              <w:rPr>
                <w:rFonts w:ascii="宋体" w:hAnsi="宋体" w:cs="宋体"/>
                <w:color w:val="auto"/>
              </w:rPr>
            </w:pPr>
          </w:p>
        </w:tc>
      </w:tr>
    </w:tbl>
    <w:p>
      <w:pPr>
        <w:pStyle w:val="2"/>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w:t>
      </w:r>
    </w:p>
    <w:p>
      <w:pPr>
        <w:pStyle w:val="2"/>
        <w:jc w:val="right"/>
        <w:rPr>
          <w:rFonts w:ascii="宋体" w:hAnsi="宋体" w:eastAsia="宋体" w:cs="宋体"/>
          <w:b/>
          <w:color w:val="auto"/>
          <w:sz w:val="24"/>
          <w:szCs w:val="24"/>
        </w:rPr>
      </w:pPr>
      <w:r>
        <w:rPr>
          <w:rFonts w:hint="eastAsia" w:ascii="宋体" w:hAnsi="宋体" w:eastAsia="宋体" w:cs="宋体"/>
          <w:color w:val="auto"/>
          <w:sz w:val="24"/>
          <w:szCs w:val="24"/>
        </w:rPr>
        <w:t>天津晟辰工程造价咨询有限公司制</w:t>
      </w:r>
    </w:p>
    <w:p>
      <w:pPr>
        <w:snapToGrid w:val="0"/>
        <w:spacing w:line="360" w:lineRule="auto"/>
        <w:rPr>
          <w:rFonts w:ascii="宋体" w:hAnsi="宋体" w:cs="宋体"/>
          <w:b/>
          <w:color w:val="auto"/>
          <w:sz w:val="24"/>
          <w:szCs w:val="24"/>
        </w:rPr>
      </w:pPr>
    </w:p>
    <w:p>
      <w:pPr>
        <w:snapToGrid w:val="0"/>
        <w:spacing w:line="360" w:lineRule="auto"/>
        <w:rPr>
          <w:rFonts w:ascii="宋体" w:hAnsi="宋体" w:cs="宋体"/>
          <w:b/>
          <w:color w:val="auto"/>
          <w:sz w:val="24"/>
          <w:szCs w:val="24"/>
        </w:rPr>
      </w:pPr>
    </w:p>
    <w:p>
      <w:pPr>
        <w:pStyle w:val="2"/>
        <w:rPr>
          <w:rFonts w:ascii="宋体" w:hAnsi="宋体" w:eastAsia="宋体" w:cs="宋体"/>
          <w:color w:val="auto"/>
        </w:rPr>
      </w:pPr>
    </w:p>
    <w:p>
      <w:pPr>
        <w:snapToGrid w:val="0"/>
        <w:spacing w:line="360" w:lineRule="auto"/>
        <w:rPr>
          <w:rFonts w:ascii="宋体" w:hAnsi="宋体" w:cs="宋体"/>
          <w:b/>
          <w:bCs/>
          <w:color w:val="auto"/>
          <w:sz w:val="24"/>
          <w:szCs w:val="24"/>
        </w:rPr>
      </w:pPr>
      <w:r>
        <w:rPr>
          <w:rFonts w:hint="eastAsia" w:ascii="宋体" w:hAnsi="宋体" w:cs="宋体"/>
          <w:b/>
          <w:color w:val="auto"/>
          <w:sz w:val="24"/>
          <w:szCs w:val="24"/>
        </w:rPr>
        <w:t>附件1</w:t>
      </w:r>
      <w:r>
        <w:rPr>
          <w:rFonts w:hint="eastAsia" w:ascii="宋体" w:hAnsi="宋体" w:cs="宋体"/>
          <w:b/>
          <w:color w:val="auto"/>
          <w:sz w:val="24"/>
          <w:szCs w:val="24"/>
          <w:lang w:val="en-US" w:eastAsia="zh-CN"/>
        </w:rPr>
        <w:t>8</w:t>
      </w:r>
      <w:r>
        <w:rPr>
          <w:rFonts w:hint="eastAsia" w:ascii="宋体" w:hAnsi="宋体" w:cs="宋体"/>
          <w:bCs/>
          <w:color w:val="auto"/>
          <w:sz w:val="24"/>
          <w:szCs w:val="24"/>
        </w:rPr>
        <w:t>（中标结果确定后，中标人须持该表（经签章）至我司，换取中标通知书）</w:t>
      </w:r>
    </w:p>
    <w:p>
      <w:pPr>
        <w:jc w:val="center"/>
        <w:rPr>
          <w:rFonts w:ascii="宋体" w:hAnsi="宋体" w:cs="宋体"/>
          <w:color w:val="auto"/>
          <w:sz w:val="32"/>
          <w:szCs w:val="32"/>
        </w:rPr>
      </w:pPr>
      <w:r>
        <w:rPr>
          <w:rFonts w:hint="eastAsia" w:ascii="宋体" w:hAnsi="宋体" w:cs="宋体"/>
          <w:color w:val="auto"/>
          <w:sz w:val="32"/>
          <w:szCs w:val="32"/>
        </w:rPr>
        <w:t>确认回执</w:t>
      </w:r>
    </w:p>
    <w:p>
      <w:pPr>
        <w:jc w:val="center"/>
        <w:rPr>
          <w:rFonts w:ascii="宋体" w:hAnsi="宋体" w:cs="宋体"/>
          <w:color w:val="auto"/>
          <w:sz w:val="24"/>
          <w:szCs w:val="24"/>
        </w:rPr>
      </w:pPr>
    </w:p>
    <w:p>
      <w:pPr>
        <w:spacing w:line="800" w:lineRule="exact"/>
        <w:rPr>
          <w:rFonts w:ascii="宋体" w:hAnsi="宋体" w:cs="宋体"/>
          <w:color w:val="auto"/>
          <w:sz w:val="24"/>
          <w:szCs w:val="24"/>
        </w:rPr>
      </w:pPr>
      <w:r>
        <w:rPr>
          <w:rFonts w:hint="eastAsia" w:ascii="宋体" w:hAnsi="宋体" w:cs="宋体"/>
          <w:color w:val="auto"/>
          <w:sz w:val="24"/>
          <w:szCs w:val="24"/>
        </w:rPr>
        <w:t>天津晟辰工程造价咨询有限公司：</w:t>
      </w:r>
    </w:p>
    <w:p>
      <w:pPr>
        <w:spacing w:line="800" w:lineRule="exact"/>
        <w:ind w:firstLine="456" w:firstLineChars="200"/>
        <w:rPr>
          <w:rFonts w:ascii="宋体" w:hAnsi="宋体" w:cs="宋体"/>
          <w:color w:val="auto"/>
          <w:sz w:val="24"/>
          <w:szCs w:val="24"/>
        </w:rPr>
      </w:pPr>
      <w:r>
        <w:rPr>
          <w:rFonts w:hint="eastAsia" w:ascii="宋体" w:hAnsi="宋体" w:cs="宋体"/>
          <w:color w:val="auto"/>
          <w:sz w:val="24"/>
          <w:szCs w:val="24"/>
        </w:rPr>
        <w:t>我公司于      年   月   日收到贵公司</w:t>
      </w:r>
      <w:r>
        <w:rPr>
          <w:rFonts w:hint="eastAsia" w:ascii="宋体" w:hAnsi="宋体" w:cs="宋体"/>
          <w:color w:val="auto"/>
          <w:sz w:val="24"/>
          <w:szCs w:val="24"/>
          <w:u w:val="single"/>
        </w:rPr>
        <w:t xml:space="preserve">                 </w:t>
      </w:r>
      <w:r>
        <w:rPr>
          <w:rFonts w:hint="eastAsia" w:ascii="宋体" w:hAnsi="宋体" w:cs="宋体"/>
          <w:color w:val="auto"/>
          <w:sz w:val="24"/>
          <w:szCs w:val="24"/>
        </w:rPr>
        <w:t>项目</w:t>
      </w:r>
      <w:r>
        <w:rPr>
          <w:rFonts w:hint="eastAsia" w:ascii="宋体" w:hAnsi="宋体" w:cs="宋体"/>
          <w:color w:val="auto"/>
          <w:sz w:val="24"/>
          <w:szCs w:val="24"/>
          <w:u w:val="single"/>
        </w:rPr>
        <w:t>（项目编号：SCGP-        )</w:t>
      </w:r>
      <w:r>
        <w:rPr>
          <w:rFonts w:hint="eastAsia" w:ascii="宋体" w:hAnsi="宋体" w:cs="宋体"/>
          <w:color w:val="auto"/>
          <w:sz w:val="24"/>
          <w:szCs w:val="24"/>
        </w:rPr>
        <w:t>的中标通知书，特作以下确认：</w:t>
      </w:r>
    </w:p>
    <w:p>
      <w:pPr>
        <w:spacing w:line="800" w:lineRule="exact"/>
        <w:ind w:firstLine="456" w:firstLineChars="200"/>
        <w:rPr>
          <w:rFonts w:ascii="宋体" w:hAnsi="宋体" w:cs="宋体"/>
          <w:color w:val="auto"/>
          <w:sz w:val="24"/>
          <w:szCs w:val="24"/>
        </w:rPr>
      </w:pPr>
      <w:r>
        <w:rPr>
          <w:rFonts w:hint="eastAsia" w:ascii="宋体" w:hAnsi="宋体" w:cs="宋体"/>
          <w:color w:val="auto"/>
          <w:sz w:val="24"/>
          <w:szCs w:val="24"/>
        </w:rPr>
        <w:t>1、我公司愿意遵守招标文件和中标通知书的规定，在指定时间和地点与甲方签订合同。</w:t>
      </w:r>
    </w:p>
    <w:p>
      <w:pPr>
        <w:spacing w:line="800" w:lineRule="exact"/>
        <w:ind w:firstLine="456" w:firstLineChars="200"/>
        <w:rPr>
          <w:rFonts w:ascii="宋体" w:hAnsi="宋体" w:cs="宋体"/>
          <w:color w:val="auto"/>
          <w:sz w:val="24"/>
          <w:szCs w:val="24"/>
        </w:rPr>
      </w:pPr>
      <w:r>
        <w:rPr>
          <w:rFonts w:hint="eastAsia" w:ascii="宋体" w:hAnsi="宋体" w:cs="宋体"/>
          <w:color w:val="auto"/>
          <w:sz w:val="24"/>
          <w:szCs w:val="24"/>
        </w:rPr>
        <w:t>2、如果我们不遵守招标文件和中标通知书的规定，甲方可以按照招标文件的规定向我公司要求赔偿。</w:t>
      </w:r>
    </w:p>
    <w:p>
      <w:pPr>
        <w:spacing w:line="800" w:lineRule="exact"/>
        <w:ind w:firstLine="456" w:firstLineChars="200"/>
        <w:rPr>
          <w:rFonts w:ascii="宋体" w:hAnsi="宋体" w:cs="宋体"/>
          <w:color w:val="auto"/>
          <w:sz w:val="24"/>
          <w:szCs w:val="24"/>
        </w:rPr>
      </w:pPr>
    </w:p>
    <w:p>
      <w:pPr>
        <w:spacing w:line="360" w:lineRule="auto"/>
        <w:ind w:firstLine="456" w:firstLineChars="200"/>
        <w:rPr>
          <w:rFonts w:ascii="宋体" w:hAnsi="宋体" w:cs="宋体"/>
          <w:color w:val="auto"/>
          <w:sz w:val="24"/>
          <w:szCs w:val="24"/>
        </w:rPr>
      </w:pPr>
    </w:p>
    <w:p>
      <w:pPr>
        <w:spacing w:line="360" w:lineRule="auto"/>
        <w:ind w:firstLine="456" w:firstLineChars="200"/>
        <w:rPr>
          <w:rFonts w:ascii="宋体" w:hAnsi="宋体" w:cs="宋体"/>
          <w:color w:val="auto"/>
          <w:sz w:val="24"/>
          <w:szCs w:val="24"/>
        </w:rPr>
      </w:pPr>
    </w:p>
    <w:p>
      <w:pPr>
        <w:spacing w:line="360" w:lineRule="auto"/>
        <w:ind w:firstLine="456" w:firstLineChars="200"/>
        <w:rPr>
          <w:rFonts w:ascii="宋体" w:hAnsi="宋体" w:cs="宋体"/>
          <w:color w:val="auto"/>
          <w:sz w:val="24"/>
          <w:szCs w:val="24"/>
        </w:rPr>
      </w:pPr>
      <w:r>
        <w:rPr>
          <w:rFonts w:hint="eastAsia" w:ascii="宋体" w:hAnsi="宋体" w:cs="宋体"/>
          <w:color w:val="auto"/>
          <w:sz w:val="24"/>
          <w:szCs w:val="24"/>
        </w:rPr>
        <w:t xml:space="preserve">                   中标单位：（盖章）</w:t>
      </w:r>
    </w:p>
    <w:p>
      <w:pPr>
        <w:spacing w:line="360" w:lineRule="auto"/>
        <w:ind w:firstLine="456" w:firstLineChars="200"/>
        <w:rPr>
          <w:rFonts w:ascii="宋体" w:hAnsi="宋体" w:cs="宋体"/>
          <w:color w:val="auto"/>
          <w:sz w:val="24"/>
          <w:szCs w:val="24"/>
        </w:rPr>
      </w:pPr>
      <w:r>
        <w:rPr>
          <w:rFonts w:hint="eastAsia" w:ascii="宋体" w:hAnsi="宋体" w:cs="宋体"/>
          <w:color w:val="auto"/>
          <w:sz w:val="24"/>
          <w:szCs w:val="24"/>
        </w:rPr>
        <w:t xml:space="preserve">                   法定代表人：（盖章）</w:t>
      </w:r>
    </w:p>
    <w:p>
      <w:pPr>
        <w:spacing w:line="360" w:lineRule="auto"/>
        <w:ind w:firstLine="456" w:firstLineChars="200"/>
        <w:rPr>
          <w:rFonts w:ascii="宋体" w:hAnsi="宋体" w:cs="宋体"/>
          <w:color w:val="auto"/>
          <w:sz w:val="24"/>
          <w:szCs w:val="24"/>
        </w:rPr>
      </w:pPr>
      <w:r>
        <w:rPr>
          <w:rFonts w:hint="eastAsia" w:ascii="宋体" w:hAnsi="宋体" w:cs="宋体"/>
          <w:color w:val="auto"/>
          <w:sz w:val="24"/>
          <w:szCs w:val="24"/>
        </w:rPr>
        <w:t xml:space="preserve">                         年     月     日</w:t>
      </w:r>
    </w:p>
    <w:sectPr>
      <w:pgSz w:w="11906" w:h="16838"/>
      <w:pgMar w:top="1440" w:right="1797" w:bottom="1440" w:left="1797" w:header="851" w:footer="567" w:gutter="0"/>
      <w:cols w:space="0" w:num="1"/>
      <w:titlePg/>
      <w:docGrid w:type="linesAndChars" w:linePitch="319" w:charSpace="-24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firstLineChars="2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50520" cy="4171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50520" cy="417195"/>
                      </a:xfrm>
                      <a:prstGeom prst="rect">
                        <a:avLst/>
                      </a:prstGeom>
                      <a:noFill/>
                      <a:ln w="6350">
                        <a:noFill/>
                      </a:ln>
                      <a:effectLst/>
                    </wps:spPr>
                    <wps:txbx>
                      <w:txbxContent>
                        <w:p>
                          <w:pPr>
                            <w:pStyle w:val="19"/>
                            <w:ind w:left="44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2.85pt;width:27.6pt;mso-position-horizontal:center;mso-position-horizontal-relative:margin;mso-wrap-style:none;z-index:251659264;mso-width-relative:page;mso-height-relative:page;" filled="f" stroked="f" coordsize="21600,21600" o:gfxdata="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qYlotIAAAADAQAADwAAAAAAAAABACAAAAAiAAAAZHJzL2Rvd25yZXYueG1sUEsB&#10;AhQAFAAAAAgAh07iQKHDjrE0AgAAYQQAAA4AAAAAAAAAAQAgAAAAIQEAAGRycy9lMm9Eb2MueG1s&#10;UEsFBgAAAAAGAAYAWQEAAMcFAAAAAA==&#10;">
              <v:fill on="f" focussize="0,0"/>
              <v:stroke on="f" weight="0.5pt"/>
              <v:imagedata o:title=""/>
              <o:lock v:ext="edit" aspectratio="f"/>
              <v:textbox inset="0mm,0mm,0mm,0mm" style="mso-fit-shape-to-text:t;">
                <w:txbxContent>
                  <w:p>
                    <w:pPr>
                      <w:pStyle w:val="19"/>
                      <w:ind w:left="44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firstLineChars="200"/>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1"/>
                            <w:rPr>
                              <w:rFonts w:hint="eastAsia"/>
                            </w:rPr>
                          </w:pPr>
                          <w:r>
                            <w:fldChar w:fldCharType="begin"/>
                          </w:r>
                          <w:r>
                            <w:instrText xml:space="preserve"> PAGE  \* MERGEFORMAT </w:instrText>
                          </w:r>
                          <w:r>
                            <w:fldChar w:fldCharType="separate"/>
                          </w:r>
                          <w:r>
                            <w:rPr>
                              <w:rFonts w:hint="eastAsia"/>
                            </w:rPr>
                            <w:t>68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21"/>
                      <w:rPr>
                        <w:rFonts w:hint="eastAsia"/>
                      </w:rPr>
                    </w:pPr>
                    <w:r>
                      <w:fldChar w:fldCharType="begin"/>
                    </w:r>
                    <w:r>
                      <w:instrText xml:space="preserve"> PAGE  \* MERGEFORMAT </w:instrText>
                    </w:r>
                    <w:r>
                      <w:fldChar w:fldCharType="separate"/>
                    </w:r>
                    <w:r>
                      <w:rPr>
                        <w:rFonts w:hint="eastAsia"/>
                      </w:rPr>
                      <w:t>68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1"/>
                            <w:rPr>
                              <w:rFonts w:hint="eastAsia"/>
                            </w:rPr>
                          </w:pPr>
                          <w:r>
                            <w:fldChar w:fldCharType="begin"/>
                          </w:r>
                          <w:r>
                            <w:instrText xml:space="preserve"> PAGE  \* MERGEFORMAT </w:instrText>
                          </w:r>
                          <w:r>
                            <w:fldChar w:fldCharType="separate"/>
                          </w:r>
                          <w:r>
                            <w:rPr>
                              <w:rFonts w:hint="eastAsia"/>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1"/>
                      <w:rPr>
                        <w:rFonts w:hint="eastAsia"/>
                      </w:rPr>
                    </w:pPr>
                    <w:r>
                      <w:fldChar w:fldCharType="begin"/>
                    </w:r>
                    <w:r>
                      <w:instrText xml:space="preserve"> PAGE  \* MERGEFORMAT </w:instrText>
                    </w:r>
                    <w:r>
                      <w:fldChar w:fldCharType="separate"/>
                    </w:r>
                    <w:r>
                      <w:rPr>
                        <w:rFonts w:hint="eastAsia"/>
                      </w:rP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firstLineChars="20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2876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842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2.65pt;width:4.6pt;mso-position-horizontal:center;mso-position-horizontal-relative:margin;mso-wrap-style:none;z-index:251660288;mso-width-relative:page;mso-height-relative:page;" filled="f" stroked="f" coordsize="21600,21600" o:gfxdata="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NJS9/SAAAAAgEAAA8AAAAAAAAAAQAgAAAAIgAAAGRycy9kb3ducmV2LnhtbFBL&#10;AQIUABQAAAAIAIdO4kBpoWKpNQIAAGAEAAAOAAAAAAAAAAEAIAAAACEBAABkcnMvZTJvRG9jLnht&#10;bFBLBQYAAAAABgAGAFkBAADI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2876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842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2.65pt;width:4.6pt;mso-position-horizontal:center;mso-position-horizontal-relative:margin;mso-wrap-style:none;z-index:251660288;mso-width-relative:page;mso-height-relative:page;" filled="f" stroked="f" coordsize="21600,21600" o:gfxdata="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NJS9/SAAAAAgEAAA8AAAAAAAAAAQAgAAAAIgAAAGRycy9kb3ducmV2LnhtbFBL&#10;AQIUABQAAAAIAIdO4kBOkdtINQIAAGAEAAAOAAAAAAAAAAEAIAAAACEBAABkcnMvZTJvRG9jLnht&#10;bFBLBQYAAAAABgAGAFkBAADI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jc w:val="right"/>
    </w:pP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jc w:val="right"/>
      <w:rPr>
        <w:rFonts w:hint="eastAsia"/>
      </w:rPr>
    </w:pPr>
    <w:r>
      <w:rPr>
        <w:rFonts w:hint="eastAsia"/>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8E9C53"/>
    <w:multiLevelType w:val="singleLevel"/>
    <w:tmpl w:val="DA8E9C53"/>
    <w:lvl w:ilvl="0" w:tentative="0">
      <w:start w:val="3"/>
      <w:numFmt w:val="chineseCounting"/>
      <w:suff w:val="nothing"/>
      <w:lvlText w:val="（%1）"/>
      <w:lvlJc w:val="left"/>
      <w:rPr>
        <w:rFonts w:hint="eastAsia"/>
      </w:rPr>
    </w:lvl>
  </w:abstractNum>
  <w:abstractNum w:abstractNumId="1">
    <w:nsid w:val="302F7539"/>
    <w:multiLevelType w:val="singleLevel"/>
    <w:tmpl w:val="302F7539"/>
    <w:lvl w:ilvl="0" w:tentative="0">
      <w:start w:val="1"/>
      <w:numFmt w:val="chineseCounting"/>
      <w:suff w:val="nothing"/>
      <w:lvlText w:val="%1、"/>
      <w:lvlJc w:val="left"/>
      <w:rPr>
        <w:rFonts w:hint="eastAsia"/>
      </w:rPr>
    </w:lvl>
  </w:abstractNum>
  <w:abstractNum w:abstractNumId="2">
    <w:nsid w:val="323012FB"/>
    <w:multiLevelType w:val="singleLevel"/>
    <w:tmpl w:val="323012FB"/>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4"/>
  <w:drawingGridVerticalSpacing w:val="159"/>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325832"/>
    <w:rsid w:val="00000D09"/>
    <w:rsid w:val="00001FD1"/>
    <w:rsid w:val="0000386B"/>
    <w:rsid w:val="00010DCF"/>
    <w:rsid w:val="00011B73"/>
    <w:rsid w:val="00013068"/>
    <w:rsid w:val="00013701"/>
    <w:rsid w:val="00017C2D"/>
    <w:rsid w:val="00020F77"/>
    <w:rsid w:val="00024938"/>
    <w:rsid w:val="0002617F"/>
    <w:rsid w:val="00026218"/>
    <w:rsid w:val="00027627"/>
    <w:rsid w:val="00027FD6"/>
    <w:rsid w:val="000308AC"/>
    <w:rsid w:val="00032015"/>
    <w:rsid w:val="00036A32"/>
    <w:rsid w:val="000403B6"/>
    <w:rsid w:val="0004130F"/>
    <w:rsid w:val="0004144B"/>
    <w:rsid w:val="00042FFE"/>
    <w:rsid w:val="00050365"/>
    <w:rsid w:val="00051166"/>
    <w:rsid w:val="00055C3D"/>
    <w:rsid w:val="00056208"/>
    <w:rsid w:val="0005643C"/>
    <w:rsid w:val="00056EF3"/>
    <w:rsid w:val="00057965"/>
    <w:rsid w:val="000607D4"/>
    <w:rsid w:val="000645FE"/>
    <w:rsid w:val="00065BDD"/>
    <w:rsid w:val="00066F12"/>
    <w:rsid w:val="0007081F"/>
    <w:rsid w:val="0007304C"/>
    <w:rsid w:val="00074B18"/>
    <w:rsid w:val="00074F44"/>
    <w:rsid w:val="000756A0"/>
    <w:rsid w:val="00075C85"/>
    <w:rsid w:val="00076BA5"/>
    <w:rsid w:val="000826F9"/>
    <w:rsid w:val="00082723"/>
    <w:rsid w:val="00092400"/>
    <w:rsid w:val="00093BA0"/>
    <w:rsid w:val="0009604A"/>
    <w:rsid w:val="000A1517"/>
    <w:rsid w:val="000A1FAC"/>
    <w:rsid w:val="000A31FF"/>
    <w:rsid w:val="000A37DB"/>
    <w:rsid w:val="000A5CEA"/>
    <w:rsid w:val="000B1AEB"/>
    <w:rsid w:val="000B2975"/>
    <w:rsid w:val="000B4BF2"/>
    <w:rsid w:val="000C337F"/>
    <w:rsid w:val="000C418A"/>
    <w:rsid w:val="000C6CA8"/>
    <w:rsid w:val="000C7A3F"/>
    <w:rsid w:val="000D26D7"/>
    <w:rsid w:val="000D2F5A"/>
    <w:rsid w:val="000D350B"/>
    <w:rsid w:val="000D3D93"/>
    <w:rsid w:val="000D4708"/>
    <w:rsid w:val="000D514E"/>
    <w:rsid w:val="000D7619"/>
    <w:rsid w:val="000E50F9"/>
    <w:rsid w:val="000E5ED9"/>
    <w:rsid w:val="000E6A76"/>
    <w:rsid w:val="000E751E"/>
    <w:rsid w:val="000F1202"/>
    <w:rsid w:val="000F1454"/>
    <w:rsid w:val="000F2E4C"/>
    <w:rsid w:val="000F48D9"/>
    <w:rsid w:val="000F4EA8"/>
    <w:rsid w:val="000F5C82"/>
    <w:rsid w:val="000F6957"/>
    <w:rsid w:val="001058E6"/>
    <w:rsid w:val="00106707"/>
    <w:rsid w:val="00106C74"/>
    <w:rsid w:val="00111E57"/>
    <w:rsid w:val="001165C6"/>
    <w:rsid w:val="00121CDE"/>
    <w:rsid w:val="001239DD"/>
    <w:rsid w:val="00123BF8"/>
    <w:rsid w:val="001256ED"/>
    <w:rsid w:val="00130AD2"/>
    <w:rsid w:val="00130C75"/>
    <w:rsid w:val="0013108F"/>
    <w:rsid w:val="00132F0F"/>
    <w:rsid w:val="00135D84"/>
    <w:rsid w:val="00136F51"/>
    <w:rsid w:val="001411F4"/>
    <w:rsid w:val="00141664"/>
    <w:rsid w:val="00143B4D"/>
    <w:rsid w:val="00150F53"/>
    <w:rsid w:val="00151C38"/>
    <w:rsid w:val="001524A8"/>
    <w:rsid w:val="00153FD7"/>
    <w:rsid w:val="00154B4F"/>
    <w:rsid w:val="00155128"/>
    <w:rsid w:val="00157775"/>
    <w:rsid w:val="00162A8C"/>
    <w:rsid w:val="00162C1C"/>
    <w:rsid w:val="001659F0"/>
    <w:rsid w:val="001707F2"/>
    <w:rsid w:val="0017141E"/>
    <w:rsid w:val="00173334"/>
    <w:rsid w:val="00173561"/>
    <w:rsid w:val="001752BB"/>
    <w:rsid w:val="00175954"/>
    <w:rsid w:val="00176C3E"/>
    <w:rsid w:val="00181ED5"/>
    <w:rsid w:val="001834DA"/>
    <w:rsid w:val="0018351E"/>
    <w:rsid w:val="001875FD"/>
    <w:rsid w:val="00190F37"/>
    <w:rsid w:val="00191695"/>
    <w:rsid w:val="00193BCD"/>
    <w:rsid w:val="0019431D"/>
    <w:rsid w:val="00194FBC"/>
    <w:rsid w:val="00196D6B"/>
    <w:rsid w:val="00196E07"/>
    <w:rsid w:val="001A142F"/>
    <w:rsid w:val="001A1F46"/>
    <w:rsid w:val="001A2919"/>
    <w:rsid w:val="001A3DE3"/>
    <w:rsid w:val="001A46F9"/>
    <w:rsid w:val="001B5BEA"/>
    <w:rsid w:val="001B61AF"/>
    <w:rsid w:val="001C0E64"/>
    <w:rsid w:val="001C0F70"/>
    <w:rsid w:val="001C0FB2"/>
    <w:rsid w:val="001C1981"/>
    <w:rsid w:val="001C50CC"/>
    <w:rsid w:val="001D0DD1"/>
    <w:rsid w:val="001D1850"/>
    <w:rsid w:val="001D3133"/>
    <w:rsid w:val="001D7887"/>
    <w:rsid w:val="001D7CB8"/>
    <w:rsid w:val="001E008E"/>
    <w:rsid w:val="001E10C1"/>
    <w:rsid w:val="001E3CB7"/>
    <w:rsid w:val="001E624E"/>
    <w:rsid w:val="001E6CCF"/>
    <w:rsid w:val="001F029D"/>
    <w:rsid w:val="001F06C3"/>
    <w:rsid w:val="001F2B50"/>
    <w:rsid w:val="001F345B"/>
    <w:rsid w:val="001F65EF"/>
    <w:rsid w:val="001F6729"/>
    <w:rsid w:val="0020173F"/>
    <w:rsid w:val="0020209A"/>
    <w:rsid w:val="002023FD"/>
    <w:rsid w:val="002027E3"/>
    <w:rsid w:val="002041ED"/>
    <w:rsid w:val="00204AE3"/>
    <w:rsid w:val="00204AE6"/>
    <w:rsid w:val="002057E7"/>
    <w:rsid w:val="0020757D"/>
    <w:rsid w:val="00210CAA"/>
    <w:rsid w:val="00211381"/>
    <w:rsid w:val="002113A2"/>
    <w:rsid w:val="002115AF"/>
    <w:rsid w:val="00211701"/>
    <w:rsid w:val="00212E26"/>
    <w:rsid w:val="00214D65"/>
    <w:rsid w:val="0021638D"/>
    <w:rsid w:val="002172BB"/>
    <w:rsid w:val="002172C7"/>
    <w:rsid w:val="00220883"/>
    <w:rsid w:val="00221B8E"/>
    <w:rsid w:val="00221E60"/>
    <w:rsid w:val="002244DC"/>
    <w:rsid w:val="002268CD"/>
    <w:rsid w:val="00227EE8"/>
    <w:rsid w:val="00230077"/>
    <w:rsid w:val="002320BD"/>
    <w:rsid w:val="00233239"/>
    <w:rsid w:val="00236168"/>
    <w:rsid w:val="00236976"/>
    <w:rsid w:val="002377EA"/>
    <w:rsid w:val="0024345E"/>
    <w:rsid w:val="00243DC1"/>
    <w:rsid w:val="00243EAF"/>
    <w:rsid w:val="00244482"/>
    <w:rsid w:val="0024790F"/>
    <w:rsid w:val="00247A78"/>
    <w:rsid w:val="00251ED7"/>
    <w:rsid w:val="0025307A"/>
    <w:rsid w:val="00261C83"/>
    <w:rsid w:val="00264E8A"/>
    <w:rsid w:val="00265B2C"/>
    <w:rsid w:val="0026666D"/>
    <w:rsid w:val="00266956"/>
    <w:rsid w:val="00271C20"/>
    <w:rsid w:val="002746E4"/>
    <w:rsid w:val="00274CF5"/>
    <w:rsid w:val="00274F20"/>
    <w:rsid w:val="002804EC"/>
    <w:rsid w:val="002830A0"/>
    <w:rsid w:val="002846C4"/>
    <w:rsid w:val="00292BE5"/>
    <w:rsid w:val="00293728"/>
    <w:rsid w:val="00293B4A"/>
    <w:rsid w:val="002948B5"/>
    <w:rsid w:val="00294986"/>
    <w:rsid w:val="00294EAF"/>
    <w:rsid w:val="0029572E"/>
    <w:rsid w:val="0029610C"/>
    <w:rsid w:val="00297EAE"/>
    <w:rsid w:val="002A055A"/>
    <w:rsid w:val="002A38E1"/>
    <w:rsid w:val="002A4B3C"/>
    <w:rsid w:val="002A7327"/>
    <w:rsid w:val="002B236E"/>
    <w:rsid w:val="002B2703"/>
    <w:rsid w:val="002B3BB4"/>
    <w:rsid w:val="002B538F"/>
    <w:rsid w:val="002C1214"/>
    <w:rsid w:val="002C384F"/>
    <w:rsid w:val="002C696D"/>
    <w:rsid w:val="002D09CD"/>
    <w:rsid w:val="002D17E4"/>
    <w:rsid w:val="002D5B4E"/>
    <w:rsid w:val="002D617F"/>
    <w:rsid w:val="002E1053"/>
    <w:rsid w:val="002E3089"/>
    <w:rsid w:val="002E3731"/>
    <w:rsid w:val="002E4551"/>
    <w:rsid w:val="002E76F9"/>
    <w:rsid w:val="002F011D"/>
    <w:rsid w:val="002F1119"/>
    <w:rsid w:val="002F245E"/>
    <w:rsid w:val="002F4792"/>
    <w:rsid w:val="002F4AA8"/>
    <w:rsid w:val="002F5576"/>
    <w:rsid w:val="003018C8"/>
    <w:rsid w:val="00302033"/>
    <w:rsid w:val="003036EA"/>
    <w:rsid w:val="00307D93"/>
    <w:rsid w:val="0031086D"/>
    <w:rsid w:val="00313073"/>
    <w:rsid w:val="00321DA5"/>
    <w:rsid w:val="00322EA4"/>
    <w:rsid w:val="00325832"/>
    <w:rsid w:val="00332ADD"/>
    <w:rsid w:val="00333496"/>
    <w:rsid w:val="00335712"/>
    <w:rsid w:val="00337742"/>
    <w:rsid w:val="0034087B"/>
    <w:rsid w:val="00340EB6"/>
    <w:rsid w:val="00342938"/>
    <w:rsid w:val="00343366"/>
    <w:rsid w:val="00343849"/>
    <w:rsid w:val="00344DB7"/>
    <w:rsid w:val="00344E3E"/>
    <w:rsid w:val="00345ABB"/>
    <w:rsid w:val="0035257E"/>
    <w:rsid w:val="00353E55"/>
    <w:rsid w:val="00355EEA"/>
    <w:rsid w:val="003562E3"/>
    <w:rsid w:val="00364265"/>
    <w:rsid w:val="00366580"/>
    <w:rsid w:val="00366E02"/>
    <w:rsid w:val="0037085F"/>
    <w:rsid w:val="003713B0"/>
    <w:rsid w:val="00374D2C"/>
    <w:rsid w:val="00375137"/>
    <w:rsid w:val="00377781"/>
    <w:rsid w:val="00383648"/>
    <w:rsid w:val="003839AE"/>
    <w:rsid w:val="00383A58"/>
    <w:rsid w:val="003851D6"/>
    <w:rsid w:val="003918BD"/>
    <w:rsid w:val="00391FD0"/>
    <w:rsid w:val="0039235B"/>
    <w:rsid w:val="00392B34"/>
    <w:rsid w:val="003942D2"/>
    <w:rsid w:val="00394B36"/>
    <w:rsid w:val="00395727"/>
    <w:rsid w:val="003969EA"/>
    <w:rsid w:val="003A1575"/>
    <w:rsid w:val="003A2974"/>
    <w:rsid w:val="003A3C1C"/>
    <w:rsid w:val="003A4684"/>
    <w:rsid w:val="003A4B1D"/>
    <w:rsid w:val="003A57D4"/>
    <w:rsid w:val="003A6081"/>
    <w:rsid w:val="003A7FEB"/>
    <w:rsid w:val="003B2330"/>
    <w:rsid w:val="003B61D6"/>
    <w:rsid w:val="003B63FF"/>
    <w:rsid w:val="003B6D2D"/>
    <w:rsid w:val="003B78E0"/>
    <w:rsid w:val="003C2705"/>
    <w:rsid w:val="003C70DC"/>
    <w:rsid w:val="003C71A3"/>
    <w:rsid w:val="003D1F65"/>
    <w:rsid w:val="003D2EF8"/>
    <w:rsid w:val="003D670E"/>
    <w:rsid w:val="003E0AB3"/>
    <w:rsid w:val="003E2404"/>
    <w:rsid w:val="003E2BBE"/>
    <w:rsid w:val="003E2F95"/>
    <w:rsid w:val="003E4B1B"/>
    <w:rsid w:val="003E5355"/>
    <w:rsid w:val="003E5A77"/>
    <w:rsid w:val="003E6D7E"/>
    <w:rsid w:val="003E6E8F"/>
    <w:rsid w:val="003E71CA"/>
    <w:rsid w:val="003E76DD"/>
    <w:rsid w:val="003F3BEC"/>
    <w:rsid w:val="003F4005"/>
    <w:rsid w:val="003F68DF"/>
    <w:rsid w:val="003F6B18"/>
    <w:rsid w:val="003F7025"/>
    <w:rsid w:val="00400AD0"/>
    <w:rsid w:val="0040134A"/>
    <w:rsid w:val="00402BE6"/>
    <w:rsid w:val="0040553A"/>
    <w:rsid w:val="0040569C"/>
    <w:rsid w:val="004069E8"/>
    <w:rsid w:val="00410A95"/>
    <w:rsid w:val="00410C64"/>
    <w:rsid w:val="00411416"/>
    <w:rsid w:val="00411BEA"/>
    <w:rsid w:val="004127C1"/>
    <w:rsid w:val="00412894"/>
    <w:rsid w:val="00413972"/>
    <w:rsid w:val="004153D6"/>
    <w:rsid w:val="00415D1E"/>
    <w:rsid w:val="00415D39"/>
    <w:rsid w:val="00416AFE"/>
    <w:rsid w:val="004176FC"/>
    <w:rsid w:val="0042020A"/>
    <w:rsid w:val="00424D37"/>
    <w:rsid w:val="004267C9"/>
    <w:rsid w:val="00427F8D"/>
    <w:rsid w:val="00431536"/>
    <w:rsid w:val="00431C42"/>
    <w:rsid w:val="00432C99"/>
    <w:rsid w:val="004377AC"/>
    <w:rsid w:val="004424FE"/>
    <w:rsid w:val="00443C74"/>
    <w:rsid w:val="00445313"/>
    <w:rsid w:val="00447502"/>
    <w:rsid w:val="004519C8"/>
    <w:rsid w:val="00454AEE"/>
    <w:rsid w:val="004559D5"/>
    <w:rsid w:val="00455B95"/>
    <w:rsid w:val="00457B84"/>
    <w:rsid w:val="00460809"/>
    <w:rsid w:val="00461A5D"/>
    <w:rsid w:val="00461B5F"/>
    <w:rsid w:val="00465BF4"/>
    <w:rsid w:val="00467FF5"/>
    <w:rsid w:val="00470093"/>
    <w:rsid w:val="00472C82"/>
    <w:rsid w:val="00481DF2"/>
    <w:rsid w:val="004826E0"/>
    <w:rsid w:val="00492B3B"/>
    <w:rsid w:val="00494F59"/>
    <w:rsid w:val="00495ECD"/>
    <w:rsid w:val="004967C3"/>
    <w:rsid w:val="004A0F57"/>
    <w:rsid w:val="004A1E95"/>
    <w:rsid w:val="004A2543"/>
    <w:rsid w:val="004A3709"/>
    <w:rsid w:val="004A3B65"/>
    <w:rsid w:val="004A4E98"/>
    <w:rsid w:val="004A7516"/>
    <w:rsid w:val="004A7F72"/>
    <w:rsid w:val="004B2100"/>
    <w:rsid w:val="004B2F69"/>
    <w:rsid w:val="004B53DB"/>
    <w:rsid w:val="004B60F7"/>
    <w:rsid w:val="004B6F35"/>
    <w:rsid w:val="004B725D"/>
    <w:rsid w:val="004C092E"/>
    <w:rsid w:val="004C2942"/>
    <w:rsid w:val="004C46E9"/>
    <w:rsid w:val="004C5937"/>
    <w:rsid w:val="004D1016"/>
    <w:rsid w:val="004D22B9"/>
    <w:rsid w:val="004D5F22"/>
    <w:rsid w:val="004D6293"/>
    <w:rsid w:val="004D6546"/>
    <w:rsid w:val="004D7749"/>
    <w:rsid w:val="004E0B40"/>
    <w:rsid w:val="004F00DC"/>
    <w:rsid w:val="004F55DE"/>
    <w:rsid w:val="004F6E25"/>
    <w:rsid w:val="004F7B5C"/>
    <w:rsid w:val="00502349"/>
    <w:rsid w:val="00502D44"/>
    <w:rsid w:val="005047D1"/>
    <w:rsid w:val="00504AFA"/>
    <w:rsid w:val="00506AA9"/>
    <w:rsid w:val="00506CD1"/>
    <w:rsid w:val="0051181F"/>
    <w:rsid w:val="00513A4E"/>
    <w:rsid w:val="00513C8F"/>
    <w:rsid w:val="005162CD"/>
    <w:rsid w:val="0052015E"/>
    <w:rsid w:val="005201BE"/>
    <w:rsid w:val="00520D46"/>
    <w:rsid w:val="00524604"/>
    <w:rsid w:val="00525EE9"/>
    <w:rsid w:val="0053021A"/>
    <w:rsid w:val="005334B4"/>
    <w:rsid w:val="00533E44"/>
    <w:rsid w:val="005349D4"/>
    <w:rsid w:val="00537D63"/>
    <w:rsid w:val="005407BF"/>
    <w:rsid w:val="0054085D"/>
    <w:rsid w:val="00542508"/>
    <w:rsid w:val="00542F08"/>
    <w:rsid w:val="00543A87"/>
    <w:rsid w:val="005449BE"/>
    <w:rsid w:val="00545166"/>
    <w:rsid w:val="00550AA3"/>
    <w:rsid w:val="00550B2F"/>
    <w:rsid w:val="00550E90"/>
    <w:rsid w:val="00550FB3"/>
    <w:rsid w:val="00552A2F"/>
    <w:rsid w:val="00552D00"/>
    <w:rsid w:val="00553D3F"/>
    <w:rsid w:val="0055739D"/>
    <w:rsid w:val="0056011E"/>
    <w:rsid w:val="00563228"/>
    <w:rsid w:val="00564666"/>
    <w:rsid w:val="0057120E"/>
    <w:rsid w:val="00572118"/>
    <w:rsid w:val="00572E0A"/>
    <w:rsid w:val="005737C6"/>
    <w:rsid w:val="00580546"/>
    <w:rsid w:val="00582AC4"/>
    <w:rsid w:val="00583A0C"/>
    <w:rsid w:val="00583F8E"/>
    <w:rsid w:val="005842A0"/>
    <w:rsid w:val="0058472E"/>
    <w:rsid w:val="00584D37"/>
    <w:rsid w:val="00585365"/>
    <w:rsid w:val="0059473B"/>
    <w:rsid w:val="005953CA"/>
    <w:rsid w:val="00595504"/>
    <w:rsid w:val="005960BA"/>
    <w:rsid w:val="005A6731"/>
    <w:rsid w:val="005B040C"/>
    <w:rsid w:val="005B631B"/>
    <w:rsid w:val="005B6420"/>
    <w:rsid w:val="005B71F0"/>
    <w:rsid w:val="005C32CD"/>
    <w:rsid w:val="005C463B"/>
    <w:rsid w:val="005C5EB1"/>
    <w:rsid w:val="005D1B17"/>
    <w:rsid w:val="005D28C6"/>
    <w:rsid w:val="005D3683"/>
    <w:rsid w:val="005D3AB2"/>
    <w:rsid w:val="005D792B"/>
    <w:rsid w:val="005E2966"/>
    <w:rsid w:val="005E2D73"/>
    <w:rsid w:val="005E50A8"/>
    <w:rsid w:val="005E6149"/>
    <w:rsid w:val="005E7194"/>
    <w:rsid w:val="005E7CBD"/>
    <w:rsid w:val="005E7FF4"/>
    <w:rsid w:val="005F09CC"/>
    <w:rsid w:val="005F2890"/>
    <w:rsid w:val="005F297C"/>
    <w:rsid w:val="005F3A98"/>
    <w:rsid w:val="005F3EB2"/>
    <w:rsid w:val="006001B2"/>
    <w:rsid w:val="006014DA"/>
    <w:rsid w:val="006038D0"/>
    <w:rsid w:val="00611A86"/>
    <w:rsid w:val="00612BD3"/>
    <w:rsid w:val="00616B13"/>
    <w:rsid w:val="00620130"/>
    <w:rsid w:val="006202F6"/>
    <w:rsid w:val="00622893"/>
    <w:rsid w:val="0062502C"/>
    <w:rsid w:val="00625361"/>
    <w:rsid w:val="0062548D"/>
    <w:rsid w:val="00630B07"/>
    <w:rsid w:val="00631029"/>
    <w:rsid w:val="00633921"/>
    <w:rsid w:val="00635B3D"/>
    <w:rsid w:val="00635DAE"/>
    <w:rsid w:val="00637544"/>
    <w:rsid w:val="00637E05"/>
    <w:rsid w:val="00641801"/>
    <w:rsid w:val="006478CA"/>
    <w:rsid w:val="00655391"/>
    <w:rsid w:val="006624B7"/>
    <w:rsid w:val="00664001"/>
    <w:rsid w:val="00664037"/>
    <w:rsid w:val="006649CF"/>
    <w:rsid w:val="00665F3D"/>
    <w:rsid w:val="00670BE5"/>
    <w:rsid w:val="006725A1"/>
    <w:rsid w:val="0067347E"/>
    <w:rsid w:val="006741E5"/>
    <w:rsid w:val="00676AED"/>
    <w:rsid w:val="00677796"/>
    <w:rsid w:val="006802EF"/>
    <w:rsid w:val="006A12B1"/>
    <w:rsid w:val="006A1C8A"/>
    <w:rsid w:val="006A4BDB"/>
    <w:rsid w:val="006A510F"/>
    <w:rsid w:val="006A5679"/>
    <w:rsid w:val="006A6F51"/>
    <w:rsid w:val="006A75E7"/>
    <w:rsid w:val="006B0EC3"/>
    <w:rsid w:val="006B4E2D"/>
    <w:rsid w:val="006B52A7"/>
    <w:rsid w:val="006B55DD"/>
    <w:rsid w:val="006B5FD1"/>
    <w:rsid w:val="006B7488"/>
    <w:rsid w:val="006C0461"/>
    <w:rsid w:val="006C0CC8"/>
    <w:rsid w:val="006C23C2"/>
    <w:rsid w:val="006C4461"/>
    <w:rsid w:val="006C5198"/>
    <w:rsid w:val="006D0E2F"/>
    <w:rsid w:val="006D53E0"/>
    <w:rsid w:val="006D76BC"/>
    <w:rsid w:val="006E08FA"/>
    <w:rsid w:val="006E0CD2"/>
    <w:rsid w:val="006E1997"/>
    <w:rsid w:val="006E1BD3"/>
    <w:rsid w:val="006E2EB7"/>
    <w:rsid w:val="006E362D"/>
    <w:rsid w:val="006E547F"/>
    <w:rsid w:val="006E630E"/>
    <w:rsid w:val="006E76A5"/>
    <w:rsid w:val="006F0645"/>
    <w:rsid w:val="006F1700"/>
    <w:rsid w:val="006F5131"/>
    <w:rsid w:val="006F687D"/>
    <w:rsid w:val="0070070A"/>
    <w:rsid w:val="007059B1"/>
    <w:rsid w:val="00705A9D"/>
    <w:rsid w:val="00710E37"/>
    <w:rsid w:val="00712082"/>
    <w:rsid w:val="00717490"/>
    <w:rsid w:val="0072214F"/>
    <w:rsid w:val="00722FD7"/>
    <w:rsid w:val="007236BA"/>
    <w:rsid w:val="007238DD"/>
    <w:rsid w:val="00723D02"/>
    <w:rsid w:val="00723D84"/>
    <w:rsid w:val="00724717"/>
    <w:rsid w:val="0072660C"/>
    <w:rsid w:val="00727CF8"/>
    <w:rsid w:val="00731AB7"/>
    <w:rsid w:val="007337B1"/>
    <w:rsid w:val="007341D7"/>
    <w:rsid w:val="00735FA8"/>
    <w:rsid w:val="0074180F"/>
    <w:rsid w:val="007420F9"/>
    <w:rsid w:val="00745C67"/>
    <w:rsid w:val="00746019"/>
    <w:rsid w:val="007532A0"/>
    <w:rsid w:val="007558DB"/>
    <w:rsid w:val="00755AB9"/>
    <w:rsid w:val="00760746"/>
    <w:rsid w:val="00761FD4"/>
    <w:rsid w:val="00766299"/>
    <w:rsid w:val="00766870"/>
    <w:rsid w:val="00766F0E"/>
    <w:rsid w:val="00767421"/>
    <w:rsid w:val="007702C7"/>
    <w:rsid w:val="00772AAA"/>
    <w:rsid w:val="007737A3"/>
    <w:rsid w:val="00773B0F"/>
    <w:rsid w:val="0077606A"/>
    <w:rsid w:val="00776384"/>
    <w:rsid w:val="0078146D"/>
    <w:rsid w:val="00781801"/>
    <w:rsid w:val="00784C33"/>
    <w:rsid w:val="00785465"/>
    <w:rsid w:val="00787470"/>
    <w:rsid w:val="00787E17"/>
    <w:rsid w:val="007904D5"/>
    <w:rsid w:val="00790877"/>
    <w:rsid w:val="00792300"/>
    <w:rsid w:val="0079363C"/>
    <w:rsid w:val="00793A9A"/>
    <w:rsid w:val="00793B6E"/>
    <w:rsid w:val="00793D56"/>
    <w:rsid w:val="0079442D"/>
    <w:rsid w:val="00796586"/>
    <w:rsid w:val="007969CF"/>
    <w:rsid w:val="00796F38"/>
    <w:rsid w:val="007A0848"/>
    <w:rsid w:val="007A4BB5"/>
    <w:rsid w:val="007A4FB6"/>
    <w:rsid w:val="007A579D"/>
    <w:rsid w:val="007A5AEB"/>
    <w:rsid w:val="007A6AA6"/>
    <w:rsid w:val="007B1550"/>
    <w:rsid w:val="007B1B3A"/>
    <w:rsid w:val="007B3797"/>
    <w:rsid w:val="007B4093"/>
    <w:rsid w:val="007B4E82"/>
    <w:rsid w:val="007B7C1E"/>
    <w:rsid w:val="007C10B0"/>
    <w:rsid w:val="007C1D1B"/>
    <w:rsid w:val="007C7CED"/>
    <w:rsid w:val="007C7E7F"/>
    <w:rsid w:val="007D127D"/>
    <w:rsid w:val="007D206B"/>
    <w:rsid w:val="007D6DBE"/>
    <w:rsid w:val="007D6EC1"/>
    <w:rsid w:val="007E4CD6"/>
    <w:rsid w:val="007F1F0C"/>
    <w:rsid w:val="007F2872"/>
    <w:rsid w:val="007F4CC3"/>
    <w:rsid w:val="007F5589"/>
    <w:rsid w:val="007F69C5"/>
    <w:rsid w:val="007F79A8"/>
    <w:rsid w:val="008005A8"/>
    <w:rsid w:val="00805098"/>
    <w:rsid w:val="008052E9"/>
    <w:rsid w:val="008118B9"/>
    <w:rsid w:val="00814C9A"/>
    <w:rsid w:val="00820229"/>
    <w:rsid w:val="008209A2"/>
    <w:rsid w:val="0082477D"/>
    <w:rsid w:val="00827BA5"/>
    <w:rsid w:val="00831FC5"/>
    <w:rsid w:val="0083556E"/>
    <w:rsid w:val="00837228"/>
    <w:rsid w:val="0083734E"/>
    <w:rsid w:val="00845C11"/>
    <w:rsid w:val="008527D8"/>
    <w:rsid w:val="00852EBB"/>
    <w:rsid w:val="0085585F"/>
    <w:rsid w:val="00855FFB"/>
    <w:rsid w:val="0086117C"/>
    <w:rsid w:val="00864C4B"/>
    <w:rsid w:val="0086630A"/>
    <w:rsid w:val="00866685"/>
    <w:rsid w:val="00866FAB"/>
    <w:rsid w:val="00871F6F"/>
    <w:rsid w:val="008732CD"/>
    <w:rsid w:val="00874016"/>
    <w:rsid w:val="00877E4C"/>
    <w:rsid w:val="00881093"/>
    <w:rsid w:val="00882E71"/>
    <w:rsid w:val="00883479"/>
    <w:rsid w:val="00885DD4"/>
    <w:rsid w:val="00886809"/>
    <w:rsid w:val="008869B6"/>
    <w:rsid w:val="00886DA4"/>
    <w:rsid w:val="0088750D"/>
    <w:rsid w:val="008879C5"/>
    <w:rsid w:val="00890051"/>
    <w:rsid w:val="0089306D"/>
    <w:rsid w:val="008933FD"/>
    <w:rsid w:val="008951B3"/>
    <w:rsid w:val="0089538C"/>
    <w:rsid w:val="00895914"/>
    <w:rsid w:val="008A1E8A"/>
    <w:rsid w:val="008A3DCE"/>
    <w:rsid w:val="008A41CD"/>
    <w:rsid w:val="008B3001"/>
    <w:rsid w:val="008B5DBC"/>
    <w:rsid w:val="008C3C92"/>
    <w:rsid w:val="008C3EA2"/>
    <w:rsid w:val="008C4E8A"/>
    <w:rsid w:val="008C682B"/>
    <w:rsid w:val="008D394D"/>
    <w:rsid w:val="008D4422"/>
    <w:rsid w:val="008D640B"/>
    <w:rsid w:val="008E22F6"/>
    <w:rsid w:val="008E285E"/>
    <w:rsid w:val="008E2C18"/>
    <w:rsid w:val="008E3C04"/>
    <w:rsid w:val="008E56E2"/>
    <w:rsid w:val="008E79D6"/>
    <w:rsid w:val="008F3208"/>
    <w:rsid w:val="008F35A8"/>
    <w:rsid w:val="008F474C"/>
    <w:rsid w:val="009016E3"/>
    <w:rsid w:val="009020C9"/>
    <w:rsid w:val="009053CD"/>
    <w:rsid w:val="0090766A"/>
    <w:rsid w:val="00907866"/>
    <w:rsid w:val="009119C8"/>
    <w:rsid w:val="00913680"/>
    <w:rsid w:val="00913750"/>
    <w:rsid w:val="00913F09"/>
    <w:rsid w:val="009140E3"/>
    <w:rsid w:val="00917496"/>
    <w:rsid w:val="00917545"/>
    <w:rsid w:val="0092151E"/>
    <w:rsid w:val="00930BF9"/>
    <w:rsid w:val="009353A1"/>
    <w:rsid w:val="0093630E"/>
    <w:rsid w:val="00936E99"/>
    <w:rsid w:val="0094028F"/>
    <w:rsid w:val="0094298F"/>
    <w:rsid w:val="0094458A"/>
    <w:rsid w:val="0094557F"/>
    <w:rsid w:val="00945B40"/>
    <w:rsid w:val="00947EC9"/>
    <w:rsid w:val="00947F1A"/>
    <w:rsid w:val="0095152D"/>
    <w:rsid w:val="00951A8D"/>
    <w:rsid w:val="009533CE"/>
    <w:rsid w:val="00954C12"/>
    <w:rsid w:val="00954DDD"/>
    <w:rsid w:val="009550AA"/>
    <w:rsid w:val="00955847"/>
    <w:rsid w:val="00955B43"/>
    <w:rsid w:val="0095612C"/>
    <w:rsid w:val="009610A4"/>
    <w:rsid w:val="00962192"/>
    <w:rsid w:val="00962A82"/>
    <w:rsid w:val="00962BEB"/>
    <w:rsid w:val="009662F0"/>
    <w:rsid w:val="00967D92"/>
    <w:rsid w:val="00974B43"/>
    <w:rsid w:val="00977FB6"/>
    <w:rsid w:val="009809F0"/>
    <w:rsid w:val="00980B33"/>
    <w:rsid w:val="00980BB0"/>
    <w:rsid w:val="009829B0"/>
    <w:rsid w:val="00984EC7"/>
    <w:rsid w:val="00987484"/>
    <w:rsid w:val="00990882"/>
    <w:rsid w:val="00993118"/>
    <w:rsid w:val="00994D13"/>
    <w:rsid w:val="009953E0"/>
    <w:rsid w:val="0099688A"/>
    <w:rsid w:val="00997B16"/>
    <w:rsid w:val="009A02C9"/>
    <w:rsid w:val="009A2CCD"/>
    <w:rsid w:val="009A418D"/>
    <w:rsid w:val="009A4641"/>
    <w:rsid w:val="009A5F5B"/>
    <w:rsid w:val="009A70B1"/>
    <w:rsid w:val="009A7247"/>
    <w:rsid w:val="009A7596"/>
    <w:rsid w:val="009B477B"/>
    <w:rsid w:val="009B6A14"/>
    <w:rsid w:val="009C0EA3"/>
    <w:rsid w:val="009C2732"/>
    <w:rsid w:val="009C4699"/>
    <w:rsid w:val="009C6217"/>
    <w:rsid w:val="009C69C7"/>
    <w:rsid w:val="009C6D2F"/>
    <w:rsid w:val="009D01FD"/>
    <w:rsid w:val="009D187B"/>
    <w:rsid w:val="009D2385"/>
    <w:rsid w:val="009D24A0"/>
    <w:rsid w:val="009D5C8E"/>
    <w:rsid w:val="009E0499"/>
    <w:rsid w:val="009E2558"/>
    <w:rsid w:val="009E2C6C"/>
    <w:rsid w:val="009E3B6B"/>
    <w:rsid w:val="009E44DC"/>
    <w:rsid w:val="009E60E9"/>
    <w:rsid w:val="009E7D35"/>
    <w:rsid w:val="009F2269"/>
    <w:rsid w:val="009F3429"/>
    <w:rsid w:val="009F598A"/>
    <w:rsid w:val="009F5AC3"/>
    <w:rsid w:val="00A002FE"/>
    <w:rsid w:val="00A02228"/>
    <w:rsid w:val="00A027A5"/>
    <w:rsid w:val="00A03C90"/>
    <w:rsid w:val="00A03EDD"/>
    <w:rsid w:val="00A10BC7"/>
    <w:rsid w:val="00A11FFD"/>
    <w:rsid w:val="00A126C3"/>
    <w:rsid w:val="00A12C8D"/>
    <w:rsid w:val="00A12F42"/>
    <w:rsid w:val="00A148A6"/>
    <w:rsid w:val="00A20063"/>
    <w:rsid w:val="00A2307E"/>
    <w:rsid w:val="00A252F0"/>
    <w:rsid w:val="00A264A9"/>
    <w:rsid w:val="00A26C90"/>
    <w:rsid w:val="00A329D1"/>
    <w:rsid w:val="00A33DFC"/>
    <w:rsid w:val="00A3561D"/>
    <w:rsid w:val="00A35BC5"/>
    <w:rsid w:val="00A372F3"/>
    <w:rsid w:val="00A41EFC"/>
    <w:rsid w:val="00A4266D"/>
    <w:rsid w:val="00A440E2"/>
    <w:rsid w:val="00A45815"/>
    <w:rsid w:val="00A5132F"/>
    <w:rsid w:val="00A5241A"/>
    <w:rsid w:val="00A53C66"/>
    <w:rsid w:val="00A55CB3"/>
    <w:rsid w:val="00A56490"/>
    <w:rsid w:val="00A57696"/>
    <w:rsid w:val="00A60795"/>
    <w:rsid w:val="00A60AF2"/>
    <w:rsid w:val="00A61EF8"/>
    <w:rsid w:val="00A62455"/>
    <w:rsid w:val="00A63F51"/>
    <w:rsid w:val="00A64F8F"/>
    <w:rsid w:val="00A65288"/>
    <w:rsid w:val="00A66552"/>
    <w:rsid w:val="00A711EB"/>
    <w:rsid w:val="00A728D0"/>
    <w:rsid w:val="00A7297C"/>
    <w:rsid w:val="00A729A1"/>
    <w:rsid w:val="00A7333C"/>
    <w:rsid w:val="00A8009D"/>
    <w:rsid w:val="00A80AAB"/>
    <w:rsid w:val="00A80F77"/>
    <w:rsid w:val="00A82DDD"/>
    <w:rsid w:val="00A843C0"/>
    <w:rsid w:val="00A873DC"/>
    <w:rsid w:val="00A90E13"/>
    <w:rsid w:val="00A92667"/>
    <w:rsid w:val="00A92A1A"/>
    <w:rsid w:val="00A936E7"/>
    <w:rsid w:val="00A9562A"/>
    <w:rsid w:val="00A97408"/>
    <w:rsid w:val="00AA0E07"/>
    <w:rsid w:val="00AA0FDA"/>
    <w:rsid w:val="00AA2CF3"/>
    <w:rsid w:val="00AA2F08"/>
    <w:rsid w:val="00AA6B88"/>
    <w:rsid w:val="00AA740B"/>
    <w:rsid w:val="00AA772B"/>
    <w:rsid w:val="00AB040D"/>
    <w:rsid w:val="00AB0F96"/>
    <w:rsid w:val="00AB1AAB"/>
    <w:rsid w:val="00AB1AB2"/>
    <w:rsid w:val="00AB270D"/>
    <w:rsid w:val="00AB3E81"/>
    <w:rsid w:val="00AB472B"/>
    <w:rsid w:val="00AB520C"/>
    <w:rsid w:val="00AB7048"/>
    <w:rsid w:val="00AB74B9"/>
    <w:rsid w:val="00AC0B2F"/>
    <w:rsid w:val="00AC6628"/>
    <w:rsid w:val="00AC7CD8"/>
    <w:rsid w:val="00AD3999"/>
    <w:rsid w:val="00AD4123"/>
    <w:rsid w:val="00AD4D0F"/>
    <w:rsid w:val="00AD678A"/>
    <w:rsid w:val="00AD6D7A"/>
    <w:rsid w:val="00AE15EA"/>
    <w:rsid w:val="00AE1773"/>
    <w:rsid w:val="00AE2ECF"/>
    <w:rsid w:val="00AE4505"/>
    <w:rsid w:val="00AE5C1F"/>
    <w:rsid w:val="00AF06D9"/>
    <w:rsid w:val="00AF2B4D"/>
    <w:rsid w:val="00AF2D1F"/>
    <w:rsid w:val="00B00F84"/>
    <w:rsid w:val="00B012DE"/>
    <w:rsid w:val="00B0201A"/>
    <w:rsid w:val="00B05458"/>
    <w:rsid w:val="00B057F1"/>
    <w:rsid w:val="00B1328E"/>
    <w:rsid w:val="00B13707"/>
    <w:rsid w:val="00B13CD0"/>
    <w:rsid w:val="00B208E4"/>
    <w:rsid w:val="00B25107"/>
    <w:rsid w:val="00B262F4"/>
    <w:rsid w:val="00B32A76"/>
    <w:rsid w:val="00B32C88"/>
    <w:rsid w:val="00B3583D"/>
    <w:rsid w:val="00B36C18"/>
    <w:rsid w:val="00B37C3A"/>
    <w:rsid w:val="00B4237D"/>
    <w:rsid w:val="00B42656"/>
    <w:rsid w:val="00B443B4"/>
    <w:rsid w:val="00B45888"/>
    <w:rsid w:val="00B45B15"/>
    <w:rsid w:val="00B51D96"/>
    <w:rsid w:val="00B53BD7"/>
    <w:rsid w:val="00B56096"/>
    <w:rsid w:val="00B60111"/>
    <w:rsid w:val="00B6637D"/>
    <w:rsid w:val="00B666EF"/>
    <w:rsid w:val="00B671A0"/>
    <w:rsid w:val="00B672EC"/>
    <w:rsid w:val="00B703E8"/>
    <w:rsid w:val="00B71AD9"/>
    <w:rsid w:val="00B71FD3"/>
    <w:rsid w:val="00B728F9"/>
    <w:rsid w:val="00B73590"/>
    <w:rsid w:val="00B75AE8"/>
    <w:rsid w:val="00B77487"/>
    <w:rsid w:val="00B8141F"/>
    <w:rsid w:val="00B84013"/>
    <w:rsid w:val="00B84566"/>
    <w:rsid w:val="00B84BFC"/>
    <w:rsid w:val="00B85D52"/>
    <w:rsid w:val="00B8615F"/>
    <w:rsid w:val="00B86541"/>
    <w:rsid w:val="00B86890"/>
    <w:rsid w:val="00B90CD6"/>
    <w:rsid w:val="00B958E1"/>
    <w:rsid w:val="00B97D34"/>
    <w:rsid w:val="00BA33E7"/>
    <w:rsid w:val="00BA48C0"/>
    <w:rsid w:val="00BA4E83"/>
    <w:rsid w:val="00BA70A3"/>
    <w:rsid w:val="00BB0AEE"/>
    <w:rsid w:val="00BB0CDE"/>
    <w:rsid w:val="00BB2144"/>
    <w:rsid w:val="00BB21E1"/>
    <w:rsid w:val="00BB3A81"/>
    <w:rsid w:val="00BB7152"/>
    <w:rsid w:val="00BC069C"/>
    <w:rsid w:val="00BC1FFD"/>
    <w:rsid w:val="00BC3D26"/>
    <w:rsid w:val="00BC6714"/>
    <w:rsid w:val="00BC6742"/>
    <w:rsid w:val="00BC74D7"/>
    <w:rsid w:val="00BD07C6"/>
    <w:rsid w:val="00BD0EA1"/>
    <w:rsid w:val="00BD1041"/>
    <w:rsid w:val="00BD11D6"/>
    <w:rsid w:val="00BD1477"/>
    <w:rsid w:val="00BD31A9"/>
    <w:rsid w:val="00BD5139"/>
    <w:rsid w:val="00BD52DF"/>
    <w:rsid w:val="00BD751A"/>
    <w:rsid w:val="00BE3063"/>
    <w:rsid w:val="00BE4FFC"/>
    <w:rsid w:val="00BE502F"/>
    <w:rsid w:val="00BE5719"/>
    <w:rsid w:val="00BE5CC6"/>
    <w:rsid w:val="00BF27F1"/>
    <w:rsid w:val="00BF3297"/>
    <w:rsid w:val="00BF3454"/>
    <w:rsid w:val="00BF3B42"/>
    <w:rsid w:val="00C00145"/>
    <w:rsid w:val="00C01A7F"/>
    <w:rsid w:val="00C030CD"/>
    <w:rsid w:val="00C0504F"/>
    <w:rsid w:val="00C0765F"/>
    <w:rsid w:val="00C07C56"/>
    <w:rsid w:val="00C1004F"/>
    <w:rsid w:val="00C12705"/>
    <w:rsid w:val="00C137F2"/>
    <w:rsid w:val="00C20F54"/>
    <w:rsid w:val="00C21D09"/>
    <w:rsid w:val="00C23440"/>
    <w:rsid w:val="00C23D41"/>
    <w:rsid w:val="00C24668"/>
    <w:rsid w:val="00C258AC"/>
    <w:rsid w:val="00C30DC3"/>
    <w:rsid w:val="00C32E0A"/>
    <w:rsid w:val="00C337B7"/>
    <w:rsid w:val="00C35AB0"/>
    <w:rsid w:val="00C4180C"/>
    <w:rsid w:val="00C47D27"/>
    <w:rsid w:val="00C50D76"/>
    <w:rsid w:val="00C512F6"/>
    <w:rsid w:val="00C55371"/>
    <w:rsid w:val="00C553EC"/>
    <w:rsid w:val="00C555A4"/>
    <w:rsid w:val="00C55AB7"/>
    <w:rsid w:val="00C6657F"/>
    <w:rsid w:val="00C67013"/>
    <w:rsid w:val="00C678D7"/>
    <w:rsid w:val="00C70917"/>
    <w:rsid w:val="00C720A2"/>
    <w:rsid w:val="00C7230E"/>
    <w:rsid w:val="00C74E49"/>
    <w:rsid w:val="00C80C99"/>
    <w:rsid w:val="00C828FF"/>
    <w:rsid w:val="00C8474B"/>
    <w:rsid w:val="00C84B16"/>
    <w:rsid w:val="00C85216"/>
    <w:rsid w:val="00C92823"/>
    <w:rsid w:val="00C92F6A"/>
    <w:rsid w:val="00C95E8A"/>
    <w:rsid w:val="00C9739A"/>
    <w:rsid w:val="00C978B6"/>
    <w:rsid w:val="00CA0D71"/>
    <w:rsid w:val="00CA262C"/>
    <w:rsid w:val="00CA43EC"/>
    <w:rsid w:val="00CB1696"/>
    <w:rsid w:val="00CB2F07"/>
    <w:rsid w:val="00CB3D39"/>
    <w:rsid w:val="00CB40E0"/>
    <w:rsid w:val="00CB5FF0"/>
    <w:rsid w:val="00CC0677"/>
    <w:rsid w:val="00CC1948"/>
    <w:rsid w:val="00CC3889"/>
    <w:rsid w:val="00CC3D49"/>
    <w:rsid w:val="00CC5625"/>
    <w:rsid w:val="00CC7205"/>
    <w:rsid w:val="00CD214D"/>
    <w:rsid w:val="00CD26A8"/>
    <w:rsid w:val="00CD3627"/>
    <w:rsid w:val="00CD3668"/>
    <w:rsid w:val="00CD4977"/>
    <w:rsid w:val="00CD5813"/>
    <w:rsid w:val="00CD6D9E"/>
    <w:rsid w:val="00CE064F"/>
    <w:rsid w:val="00CE0BB4"/>
    <w:rsid w:val="00CE143E"/>
    <w:rsid w:val="00CE3B1F"/>
    <w:rsid w:val="00CE3C1A"/>
    <w:rsid w:val="00CE48BF"/>
    <w:rsid w:val="00CE5C12"/>
    <w:rsid w:val="00CF2C9A"/>
    <w:rsid w:val="00CF31B8"/>
    <w:rsid w:val="00CF3D52"/>
    <w:rsid w:val="00CF4653"/>
    <w:rsid w:val="00CF484D"/>
    <w:rsid w:val="00CF4FA0"/>
    <w:rsid w:val="00CF6EAD"/>
    <w:rsid w:val="00CF79C0"/>
    <w:rsid w:val="00D06931"/>
    <w:rsid w:val="00D07B8D"/>
    <w:rsid w:val="00D07CCF"/>
    <w:rsid w:val="00D12CAF"/>
    <w:rsid w:val="00D12D27"/>
    <w:rsid w:val="00D13280"/>
    <w:rsid w:val="00D1512B"/>
    <w:rsid w:val="00D1533C"/>
    <w:rsid w:val="00D212BC"/>
    <w:rsid w:val="00D25669"/>
    <w:rsid w:val="00D256A5"/>
    <w:rsid w:val="00D260FE"/>
    <w:rsid w:val="00D41926"/>
    <w:rsid w:val="00D43756"/>
    <w:rsid w:val="00D43D4D"/>
    <w:rsid w:val="00D46EB8"/>
    <w:rsid w:val="00D546F7"/>
    <w:rsid w:val="00D57974"/>
    <w:rsid w:val="00D57E7B"/>
    <w:rsid w:val="00D616C1"/>
    <w:rsid w:val="00D644AF"/>
    <w:rsid w:val="00D65F9B"/>
    <w:rsid w:val="00D720FF"/>
    <w:rsid w:val="00D72CB1"/>
    <w:rsid w:val="00D73247"/>
    <w:rsid w:val="00D74E0B"/>
    <w:rsid w:val="00D75E28"/>
    <w:rsid w:val="00D8458A"/>
    <w:rsid w:val="00D8526E"/>
    <w:rsid w:val="00D85E94"/>
    <w:rsid w:val="00D8723F"/>
    <w:rsid w:val="00D872E5"/>
    <w:rsid w:val="00D873D6"/>
    <w:rsid w:val="00D93A1D"/>
    <w:rsid w:val="00D94293"/>
    <w:rsid w:val="00D94392"/>
    <w:rsid w:val="00D9463C"/>
    <w:rsid w:val="00D94BC3"/>
    <w:rsid w:val="00D9515A"/>
    <w:rsid w:val="00DA107B"/>
    <w:rsid w:val="00DA1ACB"/>
    <w:rsid w:val="00DA1C99"/>
    <w:rsid w:val="00DA30D4"/>
    <w:rsid w:val="00DA3B07"/>
    <w:rsid w:val="00DA44A4"/>
    <w:rsid w:val="00DA4AE5"/>
    <w:rsid w:val="00DA5924"/>
    <w:rsid w:val="00DA6530"/>
    <w:rsid w:val="00DB1959"/>
    <w:rsid w:val="00DB2D13"/>
    <w:rsid w:val="00DB32FD"/>
    <w:rsid w:val="00DB3474"/>
    <w:rsid w:val="00DB682A"/>
    <w:rsid w:val="00DC0CBE"/>
    <w:rsid w:val="00DC181D"/>
    <w:rsid w:val="00DC1E27"/>
    <w:rsid w:val="00DC4B1C"/>
    <w:rsid w:val="00DD0A69"/>
    <w:rsid w:val="00DD0B55"/>
    <w:rsid w:val="00DD0D73"/>
    <w:rsid w:val="00DD1FB1"/>
    <w:rsid w:val="00DD4A57"/>
    <w:rsid w:val="00DD4D01"/>
    <w:rsid w:val="00DD570F"/>
    <w:rsid w:val="00DD74E3"/>
    <w:rsid w:val="00DE14D2"/>
    <w:rsid w:val="00DE5B26"/>
    <w:rsid w:val="00DE78D0"/>
    <w:rsid w:val="00DF12BE"/>
    <w:rsid w:val="00DF289B"/>
    <w:rsid w:val="00DF2A97"/>
    <w:rsid w:val="00E03D1A"/>
    <w:rsid w:val="00E03E6D"/>
    <w:rsid w:val="00E0438B"/>
    <w:rsid w:val="00E0581B"/>
    <w:rsid w:val="00E07907"/>
    <w:rsid w:val="00E07B01"/>
    <w:rsid w:val="00E13128"/>
    <w:rsid w:val="00E15D14"/>
    <w:rsid w:val="00E163F1"/>
    <w:rsid w:val="00E20F2B"/>
    <w:rsid w:val="00E227FF"/>
    <w:rsid w:val="00E23F6A"/>
    <w:rsid w:val="00E26969"/>
    <w:rsid w:val="00E269BA"/>
    <w:rsid w:val="00E34EA5"/>
    <w:rsid w:val="00E35662"/>
    <w:rsid w:val="00E3578B"/>
    <w:rsid w:val="00E40D53"/>
    <w:rsid w:val="00E40E60"/>
    <w:rsid w:val="00E41D23"/>
    <w:rsid w:val="00E53579"/>
    <w:rsid w:val="00E55EC9"/>
    <w:rsid w:val="00E5677A"/>
    <w:rsid w:val="00E575B1"/>
    <w:rsid w:val="00E575F5"/>
    <w:rsid w:val="00E578C5"/>
    <w:rsid w:val="00E60CAD"/>
    <w:rsid w:val="00E61F2D"/>
    <w:rsid w:val="00E63585"/>
    <w:rsid w:val="00E65569"/>
    <w:rsid w:val="00E660E4"/>
    <w:rsid w:val="00E6645A"/>
    <w:rsid w:val="00E668AA"/>
    <w:rsid w:val="00E67265"/>
    <w:rsid w:val="00E716E0"/>
    <w:rsid w:val="00E71BED"/>
    <w:rsid w:val="00E753DF"/>
    <w:rsid w:val="00E75E69"/>
    <w:rsid w:val="00E77325"/>
    <w:rsid w:val="00E80277"/>
    <w:rsid w:val="00E806ED"/>
    <w:rsid w:val="00E81B33"/>
    <w:rsid w:val="00E81D71"/>
    <w:rsid w:val="00E839EF"/>
    <w:rsid w:val="00E85C37"/>
    <w:rsid w:val="00E86EBD"/>
    <w:rsid w:val="00E87232"/>
    <w:rsid w:val="00E902A9"/>
    <w:rsid w:val="00E91D2F"/>
    <w:rsid w:val="00E92A1C"/>
    <w:rsid w:val="00E92C60"/>
    <w:rsid w:val="00E937E8"/>
    <w:rsid w:val="00E94513"/>
    <w:rsid w:val="00EA0DDC"/>
    <w:rsid w:val="00EA207E"/>
    <w:rsid w:val="00EA3BA2"/>
    <w:rsid w:val="00EA48B8"/>
    <w:rsid w:val="00EA4D56"/>
    <w:rsid w:val="00EA6EC8"/>
    <w:rsid w:val="00EB01B6"/>
    <w:rsid w:val="00EB1F35"/>
    <w:rsid w:val="00EB2BE2"/>
    <w:rsid w:val="00EB39C5"/>
    <w:rsid w:val="00EB47D5"/>
    <w:rsid w:val="00EB51F6"/>
    <w:rsid w:val="00EB6C44"/>
    <w:rsid w:val="00EB7F3F"/>
    <w:rsid w:val="00EC07CF"/>
    <w:rsid w:val="00EC16A5"/>
    <w:rsid w:val="00EC2FAA"/>
    <w:rsid w:val="00EC36BA"/>
    <w:rsid w:val="00EC3ACA"/>
    <w:rsid w:val="00ED080B"/>
    <w:rsid w:val="00ED0A90"/>
    <w:rsid w:val="00ED0E03"/>
    <w:rsid w:val="00ED3E72"/>
    <w:rsid w:val="00ED4B6D"/>
    <w:rsid w:val="00ED4F76"/>
    <w:rsid w:val="00ED5A44"/>
    <w:rsid w:val="00ED6817"/>
    <w:rsid w:val="00ED6893"/>
    <w:rsid w:val="00EE2230"/>
    <w:rsid w:val="00EE4D6E"/>
    <w:rsid w:val="00EF0D03"/>
    <w:rsid w:val="00EF0E84"/>
    <w:rsid w:val="00EF1302"/>
    <w:rsid w:val="00EF18D1"/>
    <w:rsid w:val="00EF5154"/>
    <w:rsid w:val="00EF5351"/>
    <w:rsid w:val="00EF7338"/>
    <w:rsid w:val="00F01D4E"/>
    <w:rsid w:val="00F02662"/>
    <w:rsid w:val="00F041C4"/>
    <w:rsid w:val="00F04FF1"/>
    <w:rsid w:val="00F0691A"/>
    <w:rsid w:val="00F079FC"/>
    <w:rsid w:val="00F127A0"/>
    <w:rsid w:val="00F135DB"/>
    <w:rsid w:val="00F157C7"/>
    <w:rsid w:val="00F238DF"/>
    <w:rsid w:val="00F24726"/>
    <w:rsid w:val="00F25935"/>
    <w:rsid w:val="00F26822"/>
    <w:rsid w:val="00F306C7"/>
    <w:rsid w:val="00F32F05"/>
    <w:rsid w:val="00F33DDF"/>
    <w:rsid w:val="00F354FF"/>
    <w:rsid w:val="00F35981"/>
    <w:rsid w:val="00F35F4E"/>
    <w:rsid w:val="00F40389"/>
    <w:rsid w:val="00F40683"/>
    <w:rsid w:val="00F41B8B"/>
    <w:rsid w:val="00F42DBF"/>
    <w:rsid w:val="00F42DEC"/>
    <w:rsid w:val="00F436AA"/>
    <w:rsid w:val="00F43FF6"/>
    <w:rsid w:val="00F457C1"/>
    <w:rsid w:val="00F51AD2"/>
    <w:rsid w:val="00F57097"/>
    <w:rsid w:val="00F61CAD"/>
    <w:rsid w:val="00F63E06"/>
    <w:rsid w:val="00F66DD2"/>
    <w:rsid w:val="00F67C9D"/>
    <w:rsid w:val="00F70820"/>
    <w:rsid w:val="00F768AA"/>
    <w:rsid w:val="00F76C79"/>
    <w:rsid w:val="00F82D4A"/>
    <w:rsid w:val="00F84A6F"/>
    <w:rsid w:val="00F86DB5"/>
    <w:rsid w:val="00F86E3C"/>
    <w:rsid w:val="00F86E7B"/>
    <w:rsid w:val="00F9117A"/>
    <w:rsid w:val="00F92891"/>
    <w:rsid w:val="00F9502F"/>
    <w:rsid w:val="00F97162"/>
    <w:rsid w:val="00F97682"/>
    <w:rsid w:val="00FA16EF"/>
    <w:rsid w:val="00FA1C98"/>
    <w:rsid w:val="00FA4865"/>
    <w:rsid w:val="00FA4E82"/>
    <w:rsid w:val="00FA5AC2"/>
    <w:rsid w:val="00FB0A47"/>
    <w:rsid w:val="00FB3025"/>
    <w:rsid w:val="00FB4A13"/>
    <w:rsid w:val="00FB4D17"/>
    <w:rsid w:val="00FB56AE"/>
    <w:rsid w:val="00FB6BAD"/>
    <w:rsid w:val="00FC4CAA"/>
    <w:rsid w:val="00FC4DF5"/>
    <w:rsid w:val="00FC4E88"/>
    <w:rsid w:val="00FC6823"/>
    <w:rsid w:val="00FC7BCC"/>
    <w:rsid w:val="00FC7FDF"/>
    <w:rsid w:val="00FD2929"/>
    <w:rsid w:val="00FD3118"/>
    <w:rsid w:val="00FD4590"/>
    <w:rsid w:val="00FD6213"/>
    <w:rsid w:val="00FD796D"/>
    <w:rsid w:val="00FE1386"/>
    <w:rsid w:val="00FE251C"/>
    <w:rsid w:val="00FE3329"/>
    <w:rsid w:val="00FE447E"/>
    <w:rsid w:val="00FE48D9"/>
    <w:rsid w:val="00FE4A64"/>
    <w:rsid w:val="00FF0533"/>
    <w:rsid w:val="00FF3E54"/>
    <w:rsid w:val="00FF4DB7"/>
    <w:rsid w:val="00FF5906"/>
    <w:rsid w:val="00FF72C8"/>
    <w:rsid w:val="012D4DF5"/>
    <w:rsid w:val="02321FA5"/>
    <w:rsid w:val="02690D14"/>
    <w:rsid w:val="027B5CE2"/>
    <w:rsid w:val="031925A7"/>
    <w:rsid w:val="03294963"/>
    <w:rsid w:val="035972C2"/>
    <w:rsid w:val="03756CAC"/>
    <w:rsid w:val="051E11A8"/>
    <w:rsid w:val="052D4F71"/>
    <w:rsid w:val="05C36547"/>
    <w:rsid w:val="05CA6C6E"/>
    <w:rsid w:val="05E21783"/>
    <w:rsid w:val="0605577B"/>
    <w:rsid w:val="062123B3"/>
    <w:rsid w:val="071F272F"/>
    <w:rsid w:val="076453E8"/>
    <w:rsid w:val="079C7818"/>
    <w:rsid w:val="07CB1D4F"/>
    <w:rsid w:val="07E90DFD"/>
    <w:rsid w:val="082618CD"/>
    <w:rsid w:val="08DF293E"/>
    <w:rsid w:val="08FB6C1A"/>
    <w:rsid w:val="09320C41"/>
    <w:rsid w:val="09C221BF"/>
    <w:rsid w:val="09F02879"/>
    <w:rsid w:val="0A0D2B97"/>
    <w:rsid w:val="0A881EBB"/>
    <w:rsid w:val="0ADC20A2"/>
    <w:rsid w:val="0B363288"/>
    <w:rsid w:val="0BD348AA"/>
    <w:rsid w:val="0C291608"/>
    <w:rsid w:val="0C955D75"/>
    <w:rsid w:val="0C9A6375"/>
    <w:rsid w:val="0CAE61E0"/>
    <w:rsid w:val="0CF77E83"/>
    <w:rsid w:val="0D4202FE"/>
    <w:rsid w:val="0D435B36"/>
    <w:rsid w:val="0D746D68"/>
    <w:rsid w:val="0DEE6040"/>
    <w:rsid w:val="0DF03039"/>
    <w:rsid w:val="0EB96596"/>
    <w:rsid w:val="0F5C6D61"/>
    <w:rsid w:val="0F682B8D"/>
    <w:rsid w:val="0FA57134"/>
    <w:rsid w:val="10773174"/>
    <w:rsid w:val="10B2213D"/>
    <w:rsid w:val="10C5139F"/>
    <w:rsid w:val="110712E0"/>
    <w:rsid w:val="113F0F94"/>
    <w:rsid w:val="116F23B8"/>
    <w:rsid w:val="117C7033"/>
    <w:rsid w:val="11863636"/>
    <w:rsid w:val="11892215"/>
    <w:rsid w:val="119717CA"/>
    <w:rsid w:val="11AC191A"/>
    <w:rsid w:val="11CA1F78"/>
    <w:rsid w:val="121B3E85"/>
    <w:rsid w:val="12324F1C"/>
    <w:rsid w:val="12641AF6"/>
    <w:rsid w:val="130B7511"/>
    <w:rsid w:val="132E1B88"/>
    <w:rsid w:val="133637F8"/>
    <w:rsid w:val="13687139"/>
    <w:rsid w:val="136F0B64"/>
    <w:rsid w:val="13E56B1C"/>
    <w:rsid w:val="140D0716"/>
    <w:rsid w:val="150F7D76"/>
    <w:rsid w:val="1522054A"/>
    <w:rsid w:val="152666FE"/>
    <w:rsid w:val="156F1B38"/>
    <w:rsid w:val="15AB6EA1"/>
    <w:rsid w:val="15FF671B"/>
    <w:rsid w:val="16653522"/>
    <w:rsid w:val="1688079A"/>
    <w:rsid w:val="16F02965"/>
    <w:rsid w:val="170D4218"/>
    <w:rsid w:val="173E7175"/>
    <w:rsid w:val="17652917"/>
    <w:rsid w:val="17775F90"/>
    <w:rsid w:val="17814E96"/>
    <w:rsid w:val="17FF4AE1"/>
    <w:rsid w:val="1832531E"/>
    <w:rsid w:val="185D32AA"/>
    <w:rsid w:val="186A1697"/>
    <w:rsid w:val="18E54634"/>
    <w:rsid w:val="18E57DF9"/>
    <w:rsid w:val="196C0870"/>
    <w:rsid w:val="198C6075"/>
    <w:rsid w:val="199620E9"/>
    <w:rsid w:val="19BE4037"/>
    <w:rsid w:val="1A10090D"/>
    <w:rsid w:val="1A116987"/>
    <w:rsid w:val="1AD9744A"/>
    <w:rsid w:val="1BA50AEB"/>
    <w:rsid w:val="1BAB738F"/>
    <w:rsid w:val="1BCA65B4"/>
    <w:rsid w:val="1BDE0F37"/>
    <w:rsid w:val="1BFA4BB0"/>
    <w:rsid w:val="1C37474A"/>
    <w:rsid w:val="1C375E1E"/>
    <w:rsid w:val="1C9D06FF"/>
    <w:rsid w:val="1C9E4FD4"/>
    <w:rsid w:val="1CAF3AF4"/>
    <w:rsid w:val="1CDD45E2"/>
    <w:rsid w:val="1CFB0639"/>
    <w:rsid w:val="1D3B18A8"/>
    <w:rsid w:val="1D9F35DC"/>
    <w:rsid w:val="1E7222AD"/>
    <w:rsid w:val="1EB214FC"/>
    <w:rsid w:val="1F6F00ED"/>
    <w:rsid w:val="1F80077C"/>
    <w:rsid w:val="206F2793"/>
    <w:rsid w:val="20B01DB7"/>
    <w:rsid w:val="20E46574"/>
    <w:rsid w:val="20FE3C39"/>
    <w:rsid w:val="212D6991"/>
    <w:rsid w:val="21E70CF4"/>
    <w:rsid w:val="220E04C2"/>
    <w:rsid w:val="223C33C3"/>
    <w:rsid w:val="223C6D2A"/>
    <w:rsid w:val="225643BF"/>
    <w:rsid w:val="225969A2"/>
    <w:rsid w:val="226E259F"/>
    <w:rsid w:val="22A20515"/>
    <w:rsid w:val="22DA7497"/>
    <w:rsid w:val="239310FE"/>
    <w:rsid w:val="24717952"/>
    <w:rsid w:val="24845EA2"/>
    <w:rsid w:val="252876C3"/>
    <w:rsid w:val="25313FCE"/>
    <w:rsid w:val="25A34D6C"/>
    <w:rsid w:val="25C936D7"/>
    <w:rsid w:val="265007A1"/>
    <w:rsid w:val="265C4564"/>
    <w:rsid w:val="26851E4B"/>
    <w:rsid w:val="2692238A"/>
    <w:rsid w:val="26A3037C"/>
    <w:rsid w:val="26C76FAE"/>
    <w:rsid w:val="26D127F5"/>
    <w:rsid w:val="27DE0361"/>
    <w:rsid w:val="28857302"/>
    <w:rsid w:val="288C0A40"/>
    <w:rsid w:val="28C00369"/>
    <w:rsid w:val="296A625D"/>
    <w:rsid w:val="29953221"/>
    <w:rsid w:val="29C97E27"/>
    <w:rsid w:val="29F57721"/>
    <w:rsid w:val="2A5461E0"/>
    <w:rsid w:val="2A5A66E2"/>
    <w:rsid w:val="2AB3202A"/>
    <w:rsid w:val="2AC067F3"/>
    <w:rsid w:val="2BB930FE"/>
    <w:rsid w:val="2BCD798A"/>
    <w:rsid w:val="2BE36D48"/>
    <w:rsid w:val="2BF07541"/>
    <w:rsid w:val="2C0372A7"/>
    <w:rsid w:val="2C246E8B"/>
    <w:rsid w:val="2C7D556C"/>
    <w:rsid w:val="2C894B12"/>
    <w:rsid w:val="2D4023A7"/>
    <w:rsid w:val="2D5C764A"/>
    <w:rsid w:val="2D6739A9"/>
    <w:rsid w:val="2DA3612B"/>
    <w:rsid w:val="2E261DDC"/>
    <w:rsid w:val="2E463E66"/>
    <w:rsid w:val="2E544C00"/>
    <w:rsid w:val="2EE312D7"/>
    <w:rsid w:val="2F3C7BA0"/>
    <w:rsid w:val="2F7A3CC3"/>
    <w:rsid w:val="2FCE3F3B"/>
    <w:rsid w:val="302F4370"/>
    <w:rsid w:val="30514866"/>
    <w:rsid w:val="30B07655"/>
    <w:rsid w:val="30CC5484"/>
    <w:rsid w:val="3146681C"/>
    <w:rsid w:val="31534627"/>
    <w:rsid w:val="315D6DCB"/>
    <w:rsid w:val="31C222C4"/>
    <w:rsid w:val="328B1403"/>
    <w:rsid w:val="32B60300"/>
    <w:rsid w:val="32DD112E"/>
    <w:rsid w:val="335C0E16"/>
    <w:rsid w:val="33A036B2"/>
    <w:rsid w:val="340E1F87"/>
    <w:rsid w:val="3463243D"/>
    <w:rsid w:val="34731B9C"/>
    <w:rsid w:val="352F7A96"/>
    <w:rsid w:val="35E4306A"/>
    <w:rsid w:val="35F72F31"/>
    <w:rsid w:val="361067CA"/>
    <w:rsid w:val="362231DB"/>
    <w:rsid w:val="364F2DB8"/>
    <w:rsid w:val="365B7639"/>
    <w:rsid w:val="369603DE"/>
    <w:rsid w:val="36B13C94"/>
    <w:rsid w:val="37165756"/>
    <w:rsid w:val="37194269"/>
    <w:rsid w:val="37836906"/>
    <w:rsid w:val="37AC0629"/>
    <w:rsid w:val="37D17B07"/>
    <w:rsid w:val="385A5746"/>
    <w:rsid w:val="3879481B"/>
    <w:rsid w:val="38C27B70"/>
    <w:rsid w:val="38DB32DA"/>
    <w:rsid w:val="38F80576"/>
    <w:rsid w:val="392F6937"/>
    <w:rsid w:val="3AE62EE4"/>
    <w:rsid w:val="3B261141"/>
    <w:rsid w:val="3B4A7AAF"/>
    <w:rsid w:val="3B7F30CC"/>
    <w:rsid w:val="3BC86BE3"/>
    <w:rsid w:val="3BF52EFE"/>
    <w:rsid w:val="3C3E7AA0"/>
    <w:rsid w:val="3C703C86"/>
    <w:rsid w:val="3D0B31CE"/>
    <w:rsid w:val="3D5E62A2"/>
    <w:rsid w:val="3D704CF1"/>
    <w:rsid w:val="3D916C0D"/>
    <w:rsid w:val="3DD02979"/>
    <w:rsid w:val="3DFB3B2F"/>
    <w:rsid w:val="3E634BFF"/>
    <w:rsid w:val="3EB756DC"/>
    <w:rsid w:val="3F8F138B"/>
    <w:rsid w:val="3FAE6039"/>
    <w:rsid w:val="409F441F"/>
    <w:rsid w:val="40EA488E"/>
    <w:rsid w:val="41766CE2"/>
    <w:rsid w:val="41D83DDA"/>
    <w:rsid w:val="427C4BA8"/>
    <w:rsid w:val="42807709"/>
    <w:rsid w:val="42A86FC8"/>
    <w:rsid w:val="42BA3867"/>
    <w:rsid w:val="43171946"/>
    <w:rsid w:val="43410424"/>
    <w:rsid w:val="43687832"/>
    <w:rsid w:val="43D30EAF"/>
    <w:rsid w:val="43E45FB5"/>
    <w:rsid w:val="43F979F7"/>
    <w:rsid w:val="441B1533"/>
    <w:rsid w:val="442E7A88"/>
    <w:rsid w:val="4470497B"/>
    <w:rsid w:val="44813EFC"/>
    <w:rsid w:val="453541E9"/>
    <w:rsid w:val="4583245D"/>
    <w:rsid w:val="45A275C9"/>
    <w:rsid w:val="46011DA9"/>
    <w:rsid w:val="463A6436"/>
    <w:rsid w:val="464256FD"/>
    <w:rsid w:val="464C6EBC"/>
    <w:rsid w:val="466E36C2"/>
    <w:rsid w:val="46CF0444"/>
    <w:rsid w:val="474E4085"/>
    <w:rsid w:val="48B2250F"/>
    <w:rsid w:val="49052132"/>
    <w:rsid w:val="4AD2727F"/>
    <w:rsid w:val="4AD551F3"/>
    <w:rsid w:val="4B516F97"/>
    <w:rsid w:val="4B817374"/>
    <w:rsid w:val="4B83038A"/>
    <w:rsid w:val="4BAF112C"/>
    <w:rsid w:val="4BDF39FA"/>
    <w:rsid w:val="4C3867C6"/>
    <w:rsid w:val="4CAB23F9"/>
    <w:rsid w:val="4D0320D7"/>
    <w:rsid w:val="4D85303D"/>
    <w:rsid w:val="4DBD4BB5"/>
    <w:rsid w:val="4DF1278B"/>
    <w:rsid w:val="4E0B60FA"/>
    <w:rsid w:val="4E0E41E2"/>
    <w:rsid w:val="4E3C6151"/>
    <w:rsid w:val="4E526A80"/>
    <w:rsid w:val="4E877E41"/>
    <w:rsid w:val="4EA65D79"/>
    <w:rsid w:val="4F8C1882"/>
    <w:rsid w:val="500A12D8"/>
    <w:rsid w:val="515C0376"/>
    <w:rsid w:val="51FB4855"/>
    <w:rsid w:val="52E05FFF"/>
    <w:rsid w:val="53580221"/>
    <w:rsid w:val="544F71DA"/>
    <w:rsid w:val="554B730C"/>
    <w:rsid w:val="55AD32AD"/>
    <w:rsid w:val="55C342DF"/>
    <w:rsid w:val="565F3C1B"/>
    <w:rsid w:val="569C04CA"/>
    <w:rsid w:val="56AD3E96"/>
    <w:rsid w:val="56C72331"/>
    <w:rsid w:val="56E13667"/>
    <w:rsid w:val="56E34F7C"/>
    <w:rsid w:val="56E71518"/>
    <w:rsid w:val="56EC1C24"/>
    <w:rsid w:val="57110652"/>
    <w:rsid w:val="579051CB"/>
    <w:rsid w:val="57A277D1"/>
    <w:rsid w:val="581A16EE"/>
    <w:rsid w:val="58330F58"/>
    <w:rsid w:val="586A75F1"/>
    <w:rsid w:val="58857B8C"/>
    <w:rsid w:val="58B27C92"/>
    <w:rsid w:val="58CE28E7"/>
    <w:rsid w:val="58FF27F5"/>
    <w:rsid w:val="59160E0D"/>
    <w:rsid w:val="597A70EA"/>
    <w:rsid w:val="599F1099"/>
    <w:rsid w:val="5A4B3E11"/>
    <w:rsid w:val="5AB67191"/>
    <w:rsid w:val="5AD15072"/>
    <w:rsid w:val="5AF75E71"/>
    <w:rsid w:val="5B1A7B1B"/>
    <w:rsid w:val="5B4A7933"/>
    <w:rsid w:val="5BCD2334"/>
    <w:rsid w:val="5C6F00FF"/>
    <w:rsid w:val="5CBC5A3B"/>
    <w:rsid w:val="5DA77246"/>
    <w:rsid w:val="5DD93EED"/>
    <w:rsid w:val="5E47555B"/>
    <w:rsid w:val="5E60734A"/>
    <w:rsid w:val="5E86549B"/>
    <w:rsid w:val="5EF422A7"/>
    <w:rsid w:val="5F161706"/>
    <w:rsid w:val="5FDE2065"/>
    <w:rsid w:val="60065C42"/>
    <w:rsid w:val="600C0EE6"/>
    <w:rsid w:val="60993EE7"/>
    <w:rsid w:val="60ED547E"/>
    <w:rsid w:val="616D7A99"/>
    <w:rsid w:val="61B25988"/>
    <w:rsid w:val="61F75EA0"/>
    <w:rsid w:val="62533CA8"/>
    <w:rsid w:val="635210D2"/>
    <w:rsid w:val="6380505A"/>
    <w:rsid w:val="639B1A00"/>
    <w:rsid w:val="64BD380D"/>
    <w:rsid w:val="64F12523"/>
    <w:rsid w:val="65563AC0"/>
    <w:rsid w:val="65C854B6"/>
    <w:rsid w:val="65E33638"/>
    <w:rsid w:val="66614829"/>
    <w:rsid w:val="671B48FC"/>
    <w:rsid w:val="67277C7E"/>
    <w:rsid w:val="67437355"/>
    <w:rsid w:val="67756C0E"/>
    <w:rsid w:val="67C219EF"/>
    <w:rsid w:val="67FB593D"/>
    <w:rsid w:val="68177B1A"/>
    <w:rsid w:val="68E44D03"/>
    <w:rsid w:val="690A12FF"/>
    <w:rsid w:val="696737FE"/>
    <w:rsid w:val="69B60A7F"/>
    <w:rsid w:val="69C9244B"/>
    <w:rsid w:val="69F65A81"/>
    <w:rsid w:val="6A6F7770"/>
    <w:rsid w:val="6B8413D4"/>
    <w:rsid w:val="6C863C20"/>
    <w:rsid w:val="6CBA6999"/>
    <w:rsid w:val="6CBF79A5"/>
    <w:rsid w:val="6D647091"/>
    <w:rsid w:val="6D6A294F"/>
    <w:rsid w:val="6E142052"/>
    <w:rsid w:val="6E1452DA"/>
    <w:rsid w:val="6EC9433B"/>
    <w:rsid w:val="6EE64E00"/>
    <w:rsid w:val="6F126A74"/>
    <w:rsid w:val="6F4629BD"/>
    <w:rsid w:val="6F720976"/>
    <w:rsid w:val="70280313"/>
    <w:rsid w:val="705A2AD0"/>
    <w:rsid w:val="706E55C9"/>
    <w:rsid w:val="707D491B"/>
    <w:rsid w:val="70C7599A"/>
    <w:rsid w:val="71180D4D"/>
    <w:rsid w:val="71F76053"/>
    <w:rsid w:val="72563751"/>
    <w:rsid w:val="727F5FA2"/>
    <w:rsid w:val="72CF3343"/>
    <w:rsid w:val="730A797C"/>
    <w:rsid w:val="73170FD5"/>
    <w:rsid w:val="7326411E"/>
    <w:rsid w:val="733C0A0E"/>
    <w:rsid w:val="7360160A"/>
    <w:rsid w:val="74674FC5"/>
    <w:rsid w:val="74E56A6A"/>
    <w:rsid w:val="74F82BED"/>
    <w:rsid w:val="75FA06E7"/>
    <w:rsid w:val="76237411"/>
    <w:rsid w:val="76472C11"/>
    <w:rsid w:val="766C5686"/>
    <w:rsid w:val="766F6DCA"/>
    <w:rsid w:val="76B007C7"/>
    <w:rsid w:val="76DE7A85"/>
    <w:rsid w:val="76E872E8"/>
    <w:rsid w:val="77B6765C"/>
    <w:rsid w:val="77C97644"/>
    <w:rsid w:val="7821599A"/>
    <w:rsid w:val="7860106A"/>
    <w:rsid w:val="7865536B"/>
    <w:rsid w:val="78941BDB"/>
    <w:rsid w:val="78AE0D43"/>
    <w:rsid w:val="78F73668"/>
    <w:rsid w:val="793C5F65"/>
    <w:rsid w:val="79443260"/>
    <w:rsid w:val="794E3AEA"/>
    <w:rsid w:val="79B1551F"/>
    <w:rsid w:val="7A5468F9"/>
    <w:rsid w:val="7A5D7BF4"/>
    <w:rsid w:val="7B604C85"/>
    <w:rsid w:val="7B6337C4"/>
    <w:rsid w:val="7B6436A0"/>
    <w:rsid w:val="7B8B2871"/>
    <w:rsid w:val="7BE20965"/>
    <w:rsid w:val="7BFD3CD2"/>
    <w:rsid w:val="7BFE083D"/>
    <w:rsid w:val="7CA07712"/>
    <w:rsid w:val="7CAF60C4"/>
    <w:rsid w:val="7D131461"/>
    <w:rsid w:val="7D3F2869"/>
    <w:rsid w:val="7D420779"/>
    <w:rsid w:val="7D62638B"/>
    <w:rsid w:val="7D7251AC"/>
    <w:rsid w:val="7D76796D"/>
    <w:rsid w:val="7DD5545D"/>
    <w:rsid w:val="7DF4496C"/>
    <w:rsid w:val="7DFA4739"/>
    <w:rsid w:val="7E816D70"/>
    <w:rsid w:val="7EA97B2E"/>
    <w:rsid w:val="7EAD38C5"/>
    <w:rsid w:val="7ED6767B"/>
    <w:rsid w:val="7F4B1F81"/>
    <w:rsid w:val="7F9C6155"/>
    <w:rsid w:val="7FC25AC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name="Body Text 2"/>
    <w:lsdException w:uiPriority="99" w:name="Body Text 3"/>
    <w:lsdException w:qFormat="1" w:unhideWhenUsed="0" w:uiPriority="99" w:name="Body Text Indent 2"/>
    <w:lsdException w:qFormat="1" w:unhideWhenUsed="0"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Calibri" w:hAnsi="Calibri" w:eastAsia="宋体" w:cs="Times New Roman"/>
      <w:sz w:val="22"/>
      <w:szCs w:val="22"/>
      <w:lang w:val="en-US" w:eastAsia="zh-CN" w:bidi="ar-SA"/>
    </w:rPr>
  </w:style>
  <w:style w:type="paragraph" w:styleId="3">
    <w:name w:val="heading 1"/>
    <w:basedOn w:val="1"/>
    <w:next w:val="1"/>
    <w:link w:val="46"/>
    <w:qFormat/>
    <w:uiPriority w:val="99"/>
    <w:pPr>
      <w:keepNext/>
      <w:keepLines/>
      <w:spacing w:before="480" w:after="0"/>
      <w:outlineLvl w:val="0"/>
    </w:pPr>
    <w:rPr>
      <w:rFonts w:ascii="Cambria" w:hAnsi="Cambria"/>
      <w:b/>
      <w:bCs/>
      <w:color w:val="365F91"/>
      <w:sz w:val="28"/>
      <w:szCs w:val="28"/>
    </w:rPr>
  </w:style>
  <w:style w:type="paragraph" w:styleId="4">
    <w:name w:val="heading 2"/>
    <w:basedOn w:val="1"/>
    <w:next w:val="1"/>
    <w:link w:val="47"/>
    <w:qFormat/>
    <w:uiPriority w:val="99"/>
    <w:pPr>
      <w:keepNext/>
      <w:keepLines/>
      <w:spacing w:before="200" w:after="0"/>
      <w:outlineLvl w:val="1"/>
    </w:pPr>
    <w:rPr>
      <w:rFonts w:ascii="Cambria" w:hAnsi="Cambria"/>
      <w:b/>
      <w:bCs/>
      <w:color w:val="4F81BD"/>
      <w:sz w:val="26"/>
      <w:szCs w:val="26"/>
    </w:rPr>
  </w:style>
  <w:style w:type="paragraph" w:styleId="5">
    <w:name w:val="heading 3"/>
    <w:basedOn w:val="1"/>
    <w:next w:val="1"/>
    <w:link w:val="48"/>
    <w:qFormat/>
    <w:uiPriority w:val="99"/>
    <w:pPr>
      <w:keepNext/>
      <w:keepLines/>
      <w:spacing w:before="200" w:after="0"/>
      <w:outlineLvl w:val="2"/>
    </w:pPr>
    <w:rPr>
      <w:rFonts w:ascii="Cambria" w:hAnsi="Cambria"/>
      <w:b/>
      <w:bCs/>
      <w:color w:val="4F81BD"/>
    </w:rPr>
  </w:style>
  <w:style w:type="paragraph" w:styleId="6">
    <w:name w:val="heading 4"/>
    <w:basedOn w:val="1"/>
    <w:next w:val="1"/>
    <w:link w:val="49"/>
    <w:qFormat/>
    <w:uiPriority w:val="99"/>
    <w:pPr>
      <w:keepNext/>
      <w:keepLines/>
      <w:spacing w:before="200" w:after="0"/>
      <w:outlineLvl w:val="3"/>
    </w:pPr>
    <w:rPr>
      <w:rFonts w:ascii="Cambria" w:hAnsi="Cambria"/>
      <w:b/>
      <w:bCs/>
      <w:i/>
      <w:iCs/>
      <w:color w:val="4F81BD"/>
    </w:rPr>
  </w:style>
  <w:style w:type="paragraph" w:styleId="7">
    <w:name w:val="heading 5"/>
    <w:basedOn w:val="1"/>
    <w:next w:val="1"/>
    <w:link w:val="50"/>
    <w:qFormat/>
    <w:uiPriority w:val="99"/>
    <w:pPr>
      <w:keepNext/>
      <w:keepLines/>
      <w:spacing w:before="200" w:after="0"/>
      <w:outlineLvl w:val="4"/>
    </w:pPr>
    <w:rPr>
      <w:rFonts w:ascii="Cambria" w:hAnsi="Cambria"/>
      <w:color w:val="244061"/>
    </w:rPr>
  </w:style>
  <w:style w:type="paragraph" w:styleId="8">
    <w:name w:val="heading 6"/>
    <w:basedOn w:val="1"/>
    <w:next w:val="1"/>
    <w:link w:val="51"/>
    <w:qFormat/>
    <w:uiPriority w:val="99"/>
    <w:pPr>
      <w:keepNext/>
      <w:keepLines/>
      <w:spacing w:before="200" w:after="0"/>
      <w:outlineLvl w:val="5"/>
    </w:pPr>
    <w:rPr>
      <w:rFonts w:ascii="Cambria" w:hAnsi="Cambria"/>
      <w:i/>
      <w:iCs/>
      <w:color w:val="244061"/>
    </w:rPr>
  </w:style>
  <w:style w:type="paragraph" w:styleId="9">
    <w:name w:val="heading 7"/>
    <w:basedOn w:val="1"/>
    <w:next w:val="1"/>
    <w:link w:val="52"/>
    <w:qFormat/>
    <w:uiPriority w:val="99"/>
    <w:pPr>
      <w:keepNext/>
      <w:keepLines/>
      <w:spacing w:before="200" w:after="0"/>
      <w:outlineLvl w:val="6"/>
    </w:pPr>
    <w:rPr>
      <w:rFonts w:ascii="Cambria" w:hAnsi="Cambria"/>
      <w:i/>
      <w:iCs/>
      <w:color w:val="404040"/>
    </w:rPr>
  </w:style>
  <w:style w:type="paragraph" w:styleId="10">
    <w:name w:val="heading 8"/>
    <w:basedOn w:val="1"/>
    <w:next w:val="1"/>
    <w:link w:val="53"/>
    <w:qFormat/>
    <w:uiPriority w:val="99"/>
    <w:pPr>
      <w:keepNext/>
      <w:keepLines/>
      <w:spacing w:before="200" w:after="0"/>
      <w:outlineLvl w:val="7"/>
    </w:pPr>
    <w:rPr>
      <w:rFonts w:ascii="Cambria" w:hAnsi="Cambria"/>
      <w:color w:val="4F81BD"/>
      <w:sz w:val="20"/>
      <w:szCs w:val="20"/>
    </w:rPr>
  </w:style>
  <w:style w:type="paragraph" w:styleId="11">
    <w:name w:val="heading 9"/>
    <w:basedOn w:val="1"/>
    <w:next w:val="1"/>
    <w:link w:val="54"/>
    <w:qFormat/>
    <w:uiPriority w:val="99"/>
    <w:pPr>
      <w:keepNext/>
      <w:keepLines/>
      <w:spacing w:before="200" w:after="0"/>
      <w:outlineLvl w:val="8"/>
    </w:pPr>
    <w:rPr>
      <w:rFonts w:ascii="Cambria" w:hAnsi="Cambria"/>
      <w:i/>
      <w:iCs/>
      <w:color w:val="404040"/>
      <w:sz w:val="20"/>
      <w:szCs w:val="20"/>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5"/>
    <w:qFormat/>
    <w:uiPriority w:val="99"/>
    <w:rPr>
      <w:rFonts w:ascii="仿宋_GB2312" w:eastAsia="仿宋_GB2312"/>
      <w:sz w:val="30"/>
    </w:rPr>
  </w:style>
  <w:style w:type="paragraph" w:styleId="12">
    <w:name w:val="Normal Indent"/>
    <w:basedOn w:val="1"/>
    <w:qFormat/>
    <w:uiPriority w:val="0"/>
    <w:pPr>
      <w:ind w:firstLine="420"/>
    </w:pPr>
    <w:rPr>
      <w:szCs w:val="20"/>
    </w:rPr>
  </w:style>
  <w:style w:type="paragraph" w:styleId="13">
    <w:name w:val="caption"/>
    <w:basedOn w:val="1"/>
    <w:next w:val="1"/>
    <w:qFormat/>
    <w:uiPriority w:val="99"/>
    <w:pPr>
      <w:spacing w:line="240" w:lineRule="auto"/>
    </w:pPr>
    <w:rPr>
      <w:b/>
      <w:bCs/>
      <w:color w:val="4F81BD"/>
      <w:sz w:val="18"/>
      <w:szCs w:val="18"/>
    </w:rPr>
  </w:style>
  <w:style w:type="paragraph" w:styleId="14">
    <w:name w:val="Document Map"/>
    <w:basedOn w:val="1"/>
    <w:link w:val="56"/>
    <w:qFormat/>
    <w:uiPriority w:val="99"/>
    <w:pPr>
      <w:widowControl w:val="0"/>
      <w:spacing w:after="0" w:line="360" w:lineRule="auto"/>
      <w:ind w:firstLine="480" w:firstLineChars="200"/>
      <w:jc w:val="both"/>
    </w:pPr>
    <w:rPr>
      <w:rFonts w:ascii="宋体" w:hAnsi="宋体"/>
      <w:kern w:val="2"/>
      <w:sz w:val="18"/>
      <w:szCs w:val="18"/>
    </w:rPr>
  </w:style>
  <w:style w:type="paragraph" w:styleId="15">
    <w:name w:val="annotation text"/>
    <w:basedOn w:val="1"/>
    <w:link w:val="57"/>
    <w:qFormat/>
    <w:uiPriority w:val="0"/>
  </w:style>
  <w:style w:type="paragraph" w:styleId="16">
    <w:name w:val="Body Text Indent"/>
    <w:basedOn w:val="1"/>
    <w:link w:val="58"/>
    <w:qFormat/>
    <w:uiPriority w:val="99"/>
    <w:pPr>
      <w:tabs>
        <w:tab w:val="left" w:pos="480"/>
      </w:tabs>
      <w:spacing w:line="560" w:lineRule="exact"/>
      <w:ind w:firstLine="480"/>
    </w:pPr>
    <w:rPr>
      <w:rFonts w:ascii="宋体" w:hAnsi="宋体"/>
      <w:sz w:val="24"/>
    </w:rPr>
  </w:style>
  <w:style w:type="paragraph" w:styleId="17">
    <w:name w:val="Plain Text"/>
    <w:basedOn w:val="1"/>
    <w:link w:val="59"/>
    <w:qFormat/>
    <w:uiPriority w:val="99"/>
    <w:rPr>
      <w:rFonts w:ascii="宋体" w:hAnsi="Courier New"/>
      <w:sz w:val="20"/>
      <w:szCs w:val="20"/>
    </w:rPr>
  </w:style>
  <w:style w:type="paragraph" w:styleId="18">
    <w:name w:val="Date"/>
    <w:basedOn w:val="1"/>
    <w:next w:val="1"/>
    <w:link w:val="60"/>
    <w:qFormat/>
    <w:uiPriority w:val="99"/>
    <w:pPr>
      <w:adjustRightInd w:val="0"/>
      <w:spacing w:line="360" w:lineRule="atLeast"/>
      <w:textAlignment w:val="baseline"/>
    </w:pPr>
    <w:rPr>
      <w:sz w:val="32"/>
    </w:rPr>
  </w:style>
  <w:style w:type="paragraph" w:styleId="19">
    <w:name w:val="Body Text Indent 2"/>
    <w:basedOn w:val="1"/>
    <w:link w:val="61"/>
    <w:semiHidden/>
    <w:qFormat/>
    <w:uiPriority w:val="99"/>
    <w:pPr>
      <w:spacing w:after="120" w:line="480" w:lineRule="auto"/>
      <w:ind w:left="420" w:leftChars="200"/>
    </w:pPr>
  </w:style>
  <w:style w:type="paragraph" w:styleId="20">
    <w:name w:val="Balloon Text"/>
    <w:basedOn w:val="1"/>
    <w:link w:val="62"/>
    <w:semiHidden/>
    <w:qFormat/>
    <w:uiPriority w:val="99"/>
    <w:rPr>
      <w:sz w:val="18"/>
      <w:szCs w:val="18"/>
    </w:rPr>
  </w:style>
  <w:style w:type="paragraph" w:styleId="21">
    <w:name w:val="footer"/>
    <w:basedOn w:val="1"/>
    <w:link w:val="63"/>
    <w:qFormat/>
    <w:uiPriority w:val="99"/>
    <w:pPr>
      <w:tabs>
        <w:tab w:val="center" w:pos="4153"/>
        <w:tab w:val="right" w:pos="8306"/>
      </w:tabs>
      <w:snapToGrid w:val="0"/>
    </w:pPr>
    <w:rPr>
      <w:sz w:val="18"/>
      <w:szCs w:val="18"/>
    </w:rPr>
  </w:style>
  <w:style w:type="paragraph" w:styleId="22">
    <w:name w:val="header"/>
    <w:basedOn w:val="1"/>
    <w:link w:val="64"/>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99"/>
  </w:style>
  <w:style w:type="paragraph" w:styleId="24">
    <w:name w:val="Subtitle"/>
    <w:basedOn w:val="1"/>
    <w:next w:val="1"/>
    <w:link w:val="65"/>
    <w:qFormat/>
    <w:uiPriority w:val="99"/>
    <w:rPr>
      <w:rFonts w:ascii="Cambria" w:hAnsi="Cambria"/>
      <w:i/>
      <w:iCs/>
      <w:color w:val="4F81BD"/>
      <w:spacing w:val="15"/>
      <w:sz w:val="24"/>
      <w:szCs w:val="24"/>
    </w:rPr>
  </w:style>
  <w:style w:type="paragraph" w:styleId="25">
    <w:name w:val="Body Text Indent 3"/>
    <w:basedOn w:val="1"/>
    <w:link w:val="66"/>
    <w:semiHidden/>
    <w:qFormat/>
    <w:uiPriority w:val="99"/>
    <w:pPr>
      <w:spacing w:after="120"/>
      <w:ind w:left="420" w:leftChars="200"/>
    </w:pPr>
    <w:rPr>
      <w:sz w:val="16"/>
      <w:szCs w:val="16"/>
    </w:rPr>
  </w:style>
  <w:style w:type="paragraph" w:styleId="26">
    <w:name w:val="Body Text 2"/>
    <w:basedOn w:val="1"/>
    <w:link w:val="67"/>
    <w:semiHidden/>
    <w:qFormat/>
    <w:uiPriority w:val="99"/>
    <w:pPr>
      <w:spacing w:after="120" w:line="480" w:lineRule="auto"/>
    </w:pPr>
  </w:style>
  <w:style w:type="paragraph" w:styleId="27">
    <w:name w:val="Normal (Web)"/>
    <w:basedOn w:val="1"/>
    <w:qFormat/>
    <w:uiPriority w:val="99"/>
    <w:pPr>
      <w:spacing w:before="100" w:beforeAutospacing="1" w:after="100" w:afterAutospacing="1"/>
    </w:pPr>
    <w:rPr>
      <w:rFonts w:ascii="宋体" w:hAnsi="宋体" w:cs="宋体"/>
      <w:sz w:val="24"/>
      <w:szCs w:val="24"/>
    </w:rPr>
  </w:style>
  <w:style w:type="paragraph" w:styleId="28">
    <w:name w:val="Title"/>
    <w:basedOn w:val="1"/>
    <w:next w:val="1"/>
    <w:link w:val="68"/>
    <w:qFormat/>
    <w:uiPriority w:val="99"/>
    <w:pPr>
      <w:pBdr>
        <w:bottom w:val="single" w:color="4F81BD" w:sz="8" w:space="4"/>
      </w:pBdr>
      <w:spacing w:after="300" w:line="240" w:lineRule="auto"/>
      <w:contextualSpacing/>
    </w:pPr>
    <w:rPr>
      <w:rFonts w:ascii="Cambria" w:hAnsi="Cambria"/>
      <w:color w:val="17365D"/>
      <w:spacing w:val="5"/>
      <w:kern w:val="28"/>
      <w:sz w:val="52"/>
      <w:szCs w:val="52"/>
    </w:rPr>
  </w:style>
  <w:style w:type="paragraph" w:styleId="29">
    <w:name w:val="annotation subject"/>
    <w:basedOn w:val="15"/>
    <w:next w:val="15"/>
    <w:link w:val="69"/>
    <w:semiHidden/>
    <w:qFormat/>
    <w:uiPriority w:val="99"/>
    <w:rPr>
      <w:b/>
      <w:bCs/>
    </w:rPr>
  </w:style>
  <w:style w:type="table" w:styleId="31">
    <w:name w:val="Table Grid"/>
    <w:basedOn w:val="3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99"/>
    <w:rPr>
      <w:rFonts w:cs="Times New Roman"/>
      <w:b/>
      <w:bCs/>
    </w:rPr>
  </w:style>
  <w:style w:type="character" w:styleId="34">
    <w:name w:val="page number"/>
    <w:semiHidden/>
    <w:qFormat/>
    <w:uiPriority w:val="99"/>
    <w:rPr>
      <w:rFonts w:cs="Times New Roman"/>
    </w:rPr>
  </w:style>
  <w:style w:type="character" w:styleId="35">
    <w:name w:val="FollowedHyperlink"/>
    <w:basedOn w:val="32"/>
    <w:semiHidden/>
    <w:unhideWhenUsed/>
    <w:qFormat/>
    <w:uiPriority w:val="99"/>
    <w:rPr>
      <w:color w:val="800080"/>
      <w:sz w:val="20"/>
      <w:szCs w:val="20"/>
      <w:u w:val="single"/>
    </w:rPr>
  </w:style>
  <w:style w:type="character" w:styleId="36">
    <w:name w:val="Emphasis"/>
    <w:qFormat/>
    <w:uiPriority w:val="99"/>
    <w:rPr>
      <w:rFonts w:cs="Times New Roman"/>
      <w:i/>
      <w:iCs/>
    </w:rPr>
  </w:style>
  <w:style w:type="character" w:styleId="37">
    <w:name w:val="HTML Definition"/>
    <w:basedOn w:val="32"/>
    <w:semiHidden/>
    <w:unhideWhenUsed/>
    <w:qFormat/>
    <w:uiPriority w:val="99"/>
    <w:rPr>
      <w:i/>
    </w:rPr>
  </w:style>
  <w:style w:type="character" w:styleId="38">
    <w:name w:val="Hyperlink"/>
    <w:qFormat/>
    <w:uiPriority w:val="99"/>
    <w:rPr>
      <w:rFonts w:cs="Times New Roman"/>
      <w:color w:val="0000FF"/>
      <w:u w:val="single"/>
    </w:rPr>
  </w:style>
  <w:style w:type="character" w:styleId="39">
    <w:name w:val="HTML Code"/>
    <w:basedOn w:val="32"/>
    <w:semiHidden/>
    <w:unhideWhenUsed/>
    <w:qFormat/>
    <w:uiPriority w:val="99"/>
    <w:rPr>
      <w:rFonts w:hint="default" w:ascii="serif" w:hAnsi="serif" w:eastAsia="serif" w:cs="serif"/>
      <w:sz w:val="21"/>
      <w:szCs w:val="21"/>
    </w:rPr>
  </w:style>
  <w:style w:type="character" w:styleId="40">
    <w:name w:val="annotation reference"/>
    <w:qFormat/>
    <w:uiPriority w:val="0"/>
    <w:rPr>
      <w:rFonts w:cs="Times New Roman"/>
      <w:sz w:val="21"/>
    </w:rPr>
  </w:style>
  <w:style w:type="character" w:styleId="41">
    <w:name w:val="HTML Keyboard"/>
    <w:basedOn w:val="32"/>
    <w:semiHidden/>
    <w:unhideWhenUsed/>
    <w:qFormat/>
    <w:uiPriority w:val="99"/>
    <w:rPr>
      <w:rFonts w:ascii="serif" w:hAnsi="serif" w:eastAsia="serif" w:cs="serif"/>
      <w:sz w:val="21"/>
      <w:szCs w:val="21"/>
    </w:rPr>
  </w:style>
  <w:style w:type="character" w:styleId="42">
    <w:name w:val="HTML Sample"/>
    <w:basedOn w:val="32"/>
    <w:semiHidden/>
    <w:unhideWhenUsed/>
    <w:qFormat/>
    <w:uiPriority w:val="99"/>
    <w:rPr>
      <w:rFonts w:hint="default" w:ascii="serif" w:hAnsi="serif" w:eastAsia="serif" w:cs="serif"/>
      <w:sz w:val="21"/>
      <w:szCs w:val="21"/>
    </w:rPr>
  </w:style>
  <w:style w:type="paragraph" w:customStyle="1" w:styleId="43">
    <w:name w:val="首行缩进"/>
    <w:basedOn w:val="1"/>
    <w:qFormat/>
    <w:uiPriority w:val="0"/>
    <w:pPr>
      <w:spacing w:line="360" w:lineRule="auto"/>
      <w:ind w:firstLine="480" w:firstLineChars="200"/>
    </w:pPr>
    <w:rPr>
      <w:sz w:val="24"/>
      <w:szCs w:val="22"/>
      <w:lang w:val="zh-CN"/>
    </w:rPr>
  </w:style>
  <w:style w:type="paragraph" w:customStyle="1" w:styleId="44">
    <w:name w:val="Default"/>
    <w:link w:val="90"/>
    <w:qFormat/>
    <w:uiPriority w:val="99"/>
    <w:pPr>
      <w:widowControl w:val="0"/>
      <w:autoSpaceDE w:val="0"/>
      <w:autoSpaceDN w:val="0"/>
      <w:adjustRightInd w:val="0"/>
      <w:spacing w:after="200" w:line="276" w:lineRule="auto"/>
    </w:pPr>
    <w:rPr>
      <w:rFonts w:ascii="......." w:hAnsi="Calibri" w:eastAsia="......." w:cs="Times New Roman"/>
      <w:color w:val="000000"/>
      <w:sz w:val="24"/>
      <w:szCs w:val="24"/>
      <w:lang w:val="en-US" w:eastAsia="zh-CN" w:bidi="ar-SA"/>
    </w:rPr>
  </w:style>
  <w:style w:type="paragraph" w:customStyle="1" w:styleId="45">
    <w:name w:val="列出段落1"/>
    <w:basedOn w:val="1"/>
    <w:qFormat/>
    <w:uiPriority w:val="34"/>
    <w:pPr>
      <w:ind w:firstLine="420" w:firstLineChars="200"/>
    </w:pPr>
  </w:style>
  <w:style w:type="character" w:customStyle="1" w:styleId="46">
    <w:name w:val="标题 1 字符"/>
    <w:link w:val="3"/>
    <w:qFormat/>
    <w:locked/>
    <w:uiPriority w:val="99"/>
    <w:rPr>
      <w:rFonts w:ascii="Cambria" w:hAnsi="Cambria" w:eastAsia="宋体" w:cs="Times New Roman"/>
      <w:b/>
      <w:bCs/>
      <w:color w:val="365F91"/>
      <w:sz w:val="28"/>
      <w:szCs w:val="28"/>
    </w:rPr>
  </w:style>
  <w:style w:type="character" w:customStyle="1" w:styleId="47">
    <w:name w:val="标题 2 字符"/>
    <w:link w:val="4"/>
    <w:qFormat/>
    <w:locked/>
    <w:uiPriority w:val="99"/>
    <w:rPr>
      <w:rFonts w:ascii="Cambria" w:hAnsi="Cambria" w:eastAsia="宋体" w:cs="Times New Roman"/>
      <w:b/>
      <w:bCs/>
      <w:color w:val="4F81BD"/>
      <w:sz w:val="26"/>
      <w:szCs w:val="26"/>
    </w:rPr>
  </w:style>
  <w:style w:type="character" w:customStyle="1" w:styleId="48">
    <w:name w:val="标题 3 字符"/>
    <w:link w:val="5"/>
    <w:qFormat/>
    <w:locked/>
    <w:uiPriority w:val="99"/>
    <w:rPr>
      <w:rFonts w:ascii="Cambria" w:hAnsi="Cambria" w:eastAsia="宋体" w:cs="Times New Roman"/>
      <w:b/>
      <w:bCs/>
      <w:color w:val="4F81BD"/>
    </w:rPr>
  </w:style>
  <w:style w:type="character" w:customStyle="1" w:styleId="49">
    <w:name w:val="标题 4 字符"/>
    <w:link w:val="6"/>
    <w:semiHidden/>
    <w:qFormat/>
    <w:locked/>
    <w:uiPriority w:val="99"/>
    <w:rPr>
      <w:rFonts w:ascii="Cambria" w:hAnsi="Cambria" w:eastAsia="宋体" w:cs="Times New Roman"/>
      <w:b/>
      <w:bCs/>
      <w:i/>
      <w:iCs/>
      <w:color w:val="4F81BD"/>
    </w:rPr>
  </w:style>
  <w:style w:type="character" w:customStyle="1" w:styleId="50">
    <w:name w:val="标题 5 字符"/>
    <w:link w:val="7"/>
    <w:semiHidden/>
    <w:qFormat/>
    <w:locked/>
    <w:uiPriority w:val="99"/>
    <w:rPr>
      <w:rFonts w:ascii="Cambria" w:hAnsi="Cambria" w:eastAsia="宋体" w:cs="Times New Roman"/>
      <w:color w:val="244061"/>
    </w:rPr>
  </w:style>
  <w:style w:type="character" w:customStyle="1" w:styleId="51">
    <w:name w:val="标题 6 字符"/>
    <w:link w:val="8"/>
    <w:semiHidden/>
    <w:qFormat/>
    <w:locked/>
    <w:uiPriority w:val="99"/>
    <w:rPr>
      <w:rFonts w:ascii="Cambria" w:hAnsi="Cambria" w:eastAsia="宋体" w:cs="Times New Roman"/>
      <w:i/>
      <w:iCs/>
      <w:color w:val="244061"/>
    </w:rPr>
  </w:style>
  <w:style w:type="character" w:customStyle="1" w:styleId="52">
    <w:name w:val="标题 7 字符"/>
    <w:link w:val="9"/>
    <w:semiHidden/>
    <w:qFormat/>
    <w:locked/>
    <w:uiPriority w:val="99"/>
    <w:rPr>
      <w:rFonts w:ascii="Cambria" w:hAnsi="Cambria" w:eastAsia="宋体" w:cs="Times New Roman"/>
      <w:i/>
      <w:iCs/>
      <w:color w:val="404040"/>
    </w:rPr>
  </w:style>
  <w:style w:type="character" w:customStyle="1" w:styleId="53">
    <w:name w:val="标题 8 字符"/>
    <w:link w:val="10"/>
    <w:semiHidden/>
    <w:qFormat/>
    <w:locked/>
    <w:uiPriority w:val="99"/>
    <w:rPr>
      <w:rFonts w:ascii="Cambria" w:hAnsi="Cambria" w:eastAsia="宋体" w:cs="Times New Roman"/>
      <w:color w:val="4F81BD"/>
      <w:sz w:val="20"/>
      <w:szCs w:val="20"/>
    </w:rPr>
  </w:style>
  <w:style w:type="character" w:customStyle="1" w:styleId="54">
    <w:name w:val="标题 9 字符"/>
    <w:link w:val="11"/>
    <w:semiHidden/>
    <w:qFormat/>
    <w:locked/>
    <w:uiPriority w:val="99"/>
    <w:rPr>
      <w:rFonts w:ascii="Cambria" w:hAnsi="Cambria" w:eastAsia="宋体" w:cs="Times New Roman"/>
      <w:i/>
      <w:iCs/>
      <w:color w:val="404040"/>
      <w:sz w:val="20"/>
      <w:szCs w:val="20"/>
    </w:rPr>
  </w:style>
  <w:style w:type="character" w:customStyle="1" w:styleId="55">
    <w:name w:val="正文文本 字符"/>
    <w:link w:val="2"/>
    <w:semiHidden/>
    <w:qFormat/>
    <w:uiPriority w:val="99"/>
    <w:rPr>
      <w:kern w:val="0"/>
      <w:sz w:val="22"/>
    </w:rPr>
  </w:style>
  <w:style w:type="character" w:customStyle="1" w:styleId="56">
    <w:name w:val="文档结构图 字符"/>
    <w:link w:val="14"/>
    <w:qFormat/>
    <w:locked/>
    <w:uiPriority w:val="99"/>
    <w:rPr>
      <w:rFonts w:ascii="宋体" w:eastAsia="宋体"/>
      <w:kern w:val="2"/>
      <w:sz w:val="18"/>
    </w:rPr>
  </w:style>
  <w:style w:type="character" w:customStyle="1" w:styleId="57">
    <w:name w:val="批注文字 字符"/>
    <w:link w:val="15"/>
    <w:qFormat/>
    <w:locked/>
    <w:uiPriority w:val="0"/>
    <w:rPr>
      <w:rFonts w:ascii="Times New Roman" w:hAnsi="Times New Roman" w:eastAsia="宋体" w:cs="Times New Roman"/>
      <w:kern w:val="2"/>
      <w:sz w:val="21"/>
    </w:rPr>
  </w:style>
  <w:style w:type="character" w:customStyle="1" w:styleId="58">
    <w:name w:val="正文文本缩进 字符"/>
    <w:link w:val="16"/>
    <w:qFormat/>
    <w:locked/>
    <w:uiPriority w:val="99"/>
    <w:rPr>
      <w:rFonts w:ascii="宋体" w:hAnsi="宋体" w:eastAsia="宋体" w:cs="Times New Roman"/>
      <w:sz w:val="20"/>
      <w:szCs w:val="20"/>
    </w:rPr>
  </w:style>
  <w:style w:type="character" w:customStyle="1" w:styleId="59">
    <w:name w:val="纯文本 字符"/>
    <w:link w:val="17"/>
    <w:qFormat/>
    <w:locked/>
    <w:uiPriority w:val="99"/>
    <w:rPr>
      <w:rFonts w:ascii="宋体" w:hAnsi="Courier New" w:eastAsia="宋体"/>
      <w:sz w:val="20"/>
    </w:rPr>
  </w:style>
  <w:style w:type="character" w:customStyle="1" w:styleId="60">
    <w:name w:val="日期 字符"/>
    <w:link w:val="18"/>
    <w:qFormat/>
    <w:locked/>
    <w:uiPriority w:val="99"/>
    <w:rPr>
      <w:rFonts w:ascii="Times New Roman" w:hAnsi="Times New Roman" w:eastAsia="宋体" w:cs="Times New Roman"/>
      <w:sz w:val="20"/>
      <w:szCs w:val="20"/>
    </w:rPr>
  </w:style>
  <w:style w:type="character" w:customStyle="1" w:styleId="61">
    <w:name w:val="正文文本缩进 2 字符"/>
    <w:link w:val="19"/>
    <w:semiHidden/>
    <w:qFormat/>
    <w:locked/>
    <w:uiPriority w:val="99"/>
    <w:rPr>
      <w:rFonts w:ascii="Times New Roman" w:hAnsi="Times New Roman" w:eastAsia="宋体" w:cs="Times New Roman"/>
      <w:sz w:val="20"/>
      <w:szCs w:val="20"/>
    </w:rPr>
  </w:style>
  <w:style w:type="character" w:customStyle="1" w:styleId="62">
    <w:name w:val="批注框文本 字符"/>
    <w:link w:val="20"/>
    <w:semiHidden/>
    <w:qFormat/>
    <w:locked/>
    <w:uiPriority w:val="99"/>
    <w:rPr>
      <w:rFonts w:ascii="Times New Roman" w:hAnsi="Times New Roman" w:eastAsia="宋体" w:cs="Times New Roman"/>
      <w:sz w:val="18"/>
      <w:szCs w:val="18"/>
    </w:rPr>
  </w:style>
  <w:style w:type="character" w:customStyle="1" w:styleId="63">
    <w:name w:val="页脚 字符"/>
    <w:link w:val="21"/>
    <w:qFormat/>
    <w:locked/>
    <w:uiPriority w:val="99"/>
    <w:rPr>
      <w:rFonts w:ascii="Times New Roman" w:hAnsi="Times New Roman" w:eastAsia="宋体" w:cs="Times New Roman"/>
      <w:sz w:val="18"/>
      <w:szCs w:val="18"/>
    </w:rPr>
  </w:style>
  <w:style w:type="character" w:customStyle="1" w:styleId="64">
    <w:name w:val="页眉 字符"/>
    <w:link w:val="22"/>
    <w:qFormat/>
    <w:locked/>
    <w:uiPriority w:val="99"/>
    <w:rPr>
      <w:rFonts w:ascii="Times New Roman" w:hAnsi="Times New Roman" w:eastAsia="宋体" w:cs="Times New Roman"/>
      <w:sz w:val="18"/>
      <w:szCs w:val="18"/>
    </w:rPr>
  </w:style>
  <w:style w:type="character" w:customStyle="1" w:styleId="65">
    <w:name w:val="副标题 字符"/>
    <w:link w:val="24"/>
    <w:qFormat/>
    <w:locked/>
    <w:uiPriority w:val="99"/>
    <w:rPr>
      <w:rFonts w:ascii="Cambria" w:hAnsi="Cambria" w:eastAsia="宋体" w:cs="Times New Roman"/>
      <w:i/>
      <w:iCs/>
      <w:color w:val="4F81BD"/>
      <w:spacing w:val="15"/>
      <w:sz w:val="24"/>
      <w:szCs w:val="24"/>
    </w:rPr>
  </w:style>
  <w:style w:type="character" w:customStyle="1" w:styleId="66">
    <w:name w:val="正文文本缩进 3 字符"/>
    <w:link w:val="25"/>
    <w:semiHidden/>
    <w:qFormat/>
    <w:locked/>
    <w:uiPriority w:val="99"/>
    <w:rPr>
      <w:rFonts w:ascii="Times New Roman" w:hAnsi="Times New Roman" w:eastAsia="宋体" w:cs="Times New Roman"/>
      <w:sz w:val="16"/>
      <w:szCs w:val="16"/>
    </w:rPr>
  </w:style>
  <w:style w:type="character" w:customStyle="1" w:styleId="67">
    <w:name w:val="正文文本 2 字符"/>
    <w:link w:val="26"/>
    <w:semiHidden/>
    <w:qFormat/>
    <w:locked/>
    <w:uiPriority w:val="99"/>
    <w:rPr>
      <w:rFonts w:ascii="Times New Roman" w:hAnsi="Times New Roman" w:eastAsia="宋体" w:cs="Times New Roman"/>
      <w:sz w:val="20"/>
      <w:szCs w:val="20"/>
    </w:rPr>
  </w:style>
  <w:style w:type="character" w:customStyle="1" w:styleId="68">
    <w:name w:val="标题 字符"/>
    <w:link w:val="28"/>
    <w:qFormat/>
    <w:locked/>
    <w:uiPriority w:val="99"/>
    <w:rPr>
      <w:rFonts w:ascii="Cambria" w:hAnsi="Cambria" w:eastAsia="宋体" w:cs="Times New Roman"/>
      <w:color w:val="17365D"/>
      <w:spacing w:val="5"/>
      <w:kern w:val="28"/>
      <w:sz w:val="52"/>
      <w:szCs w:val="52"/>
    </w:rPr>
  </w:style>
  <w:style w:type="character" w:customStyle="1" w:styleId="69">
    <w:name w:val="批注主题 字符"/>
    <w:link w:val="29"/>
    <w:semiHidden/>
    <w:qFormat/>
    <w:locked/>
    <w:uiPriority w:val="99"/>
    <w:rPr>
      <w:rFonts w:ascii="Times New Roman" w:hAnsi="Times New Roman" w:eastAsia="宋体" w:cs="Times New Roman"/>
      <w:b/>
      <w:bCs/>
      <w:kern w:val="2"/>
      <w:sz w:val="21"/>
    </w:rPr>
  </w:style>
  <w:style w:type="paragraph" w:styleId="70">
    <w:name w:val="List Paragraph"/>
    <w:basedOn w:val="1"/>
    <w:qFormat/>
    <w:uiPriority w:val="99"/>
    <w:pPr>
      <w:ind w:left="720"/>
      <w:contextualSpacing/>
    </w:pPr>
  </w:style>
  <w:style w:type="paragraph" w:customStyle="1" w:styleId="71">
    <w:name w:val="Char"/>
    <w:basedOn w:val="1"/>
    <w:qFormat/>
    <w:uiPriority w:val="99"/>
    <w:pPr>
      <w:tabs>
        <w:tab w:val="left" w:pos="360"/>
      </w:tabs>
    </w:pPr>
    <w:rPr>
      <w:sz w:val="24"/>
      <w:szCs w:val="24"/>
    </w:rPr>
  </w:style>
  <w:style w:type="character" w:customStyle="1" w:styleId="72">
    <w:name w:val="纯文本 Char"/>
    <w:semiHidden/>
    <w:qFormat/>
    <w:uiPriority w:val="99"/>
    <w:rPr>
      <w:rFonts w:ascii="宋体" w:hAnsi="Courier New" w:eastAsia="宋体" w:cs="Courier New"/>
      <w:sz w:val="21"/>
      <w:szCs w:val="21"/>
    </w:rPr>
  </w:style>
  <w:style w:type="paragraph" w:customStyle="1" w:styleId="73">
    <w:name w:val="正文_13"/>
    <w:qFormat/>
    <w:uiPriority w:val="99"/>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74">
    <w:name w:val="正文_6"/>
    <w:qFormat/>
    <w:uiPriority w:val="99"/>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75">
    <w:name w:val="正文_7"/>
    <w:qFormat/>
    <w:uiPriority w:val="99"/>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76">
    <w:name w:val="正文_11"/>
    <w:qFormat/>
    <w:uiPriority w:val="99"/>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customStyle="1" w:styleId="77">
    <w:name w:val="Char1"/>
    <w:basedOn w:val="1"/>
    <w:qFormat/>
    <w:uiPriority w:val="99"/>
    <w:pPr>
      <w:tabs>
        <w:tab w:val="left" w:pos="360"/>
      </w:tabs>
    </w:pPr>
    <w:rPr>
      <w:sz w:val="24"/>
      <w:szCs w:val="24"/>
    </w:rPr>
  </w:style>
  <w:style w:type="paragraph" w:styleId="78">
    <w:name w:val="No Spacing"/>
    <w:qFormat/>
    <w:uiPriority w:val="99"/>
    <w:rPr>
      <w:rFonts w:ascii="Calibri" w:hAnsi="Calibri" w:eastAsia="宋体" w:cs="Times New Roman"/>
      <w:sz w:val="22"/>
      <w:szCs w:val="22"/>
      <w:lang w:val="en-US" w:eastAsia="zh-CN" w:bidi="ar-SA"/>
    </w:rPr>
  </w:style>
  <w:style w:type="paragraph" w:styleId="79">
    <w:name w:val="Quote"/>
    <w:basedOn w:val="1"/>
    <w:next w:val="1"/>
    <w:link w:val="80"/>
    <w:qFormat/>
    <w:uiPriority w:val="99"/>
    <w:rPr>
      <w:i/>
      <w:iCs/>
      <w:color w:val="000000"/>
    </w:rPr>
  </w:style>
  <w:style w:type="character" w:customStyle="1" w:styleId="80">
    <w:name w:val="引用 字符"/>
    <w:link w:val="79"/>
    <w:qFormat/>
    <w:locked/>
    <w:uiPriority w:val="99"/>
    <w:rPr>
      <w:rFonts w:cs="Times New Roman"/>
      <w:i/>
      <w:iCs/>
      <w:color w:val="000000"/>
    </w:rPr>
  </w:style>
  <w:style w:type="paragraph" w:styleId="81">
    <w:name w:val="Intense Quote"/>
    <w:basedOn w:val="1"/>
    <w:next w:val="1"/>
    <w:link w:val="82"/>
    <w:qFormat/>
    <w:uiPriority w:val="99"/>
    <w:pPr>
      <w:pBdr>
        <w:bottom w:val="single" w:color="4F81BD" w:sz="4" w:space="4"/>
      </w:pBdr>
      <w:spacing w:before="200" w:after="280"/>
      <w:ind w:left="936" w:right="936"/>
    </w:pPr>
    <w:rPr>
      <w:b/>
      <w:bCs/>
      <w:i/>
      <w:iCs/>
      <w:color w:val="4F81BD"/>
    </w:rPr>
  </w:style>
  <w:style w:type="character" w:customStyle="1" w:styleId="82">
    <w:name w:val="明显引用 字符"/>
    <w:link w:val="81"/>
    <w:qFormat/>
    <w:locked/>
    <w:uiPriority w:val="99"/>
    <w:rPr>
      <w:rFonts w:cs="Times New Roman"/>
      <w:b/>
      <w:bCs/>
      <w:i/>
      <w:iCs/>
      <w:color w:val="4F81BD"/>
    </w:rPr>
  </w:style>
  <w:style w:type="character" w:customStyle="1" w:styleId="83">
    <w:name w:val="不明显强调1"/>
    <w:qFormat/>
    <w:uiPriority w:val="99"/>
    <w:rPr>
      <w:rFonts w:cs="Times New Roman"/>
      <w:i/>
      <w:iCs/>
      <w:color w:val="7F7F7F"/>
    </w:rPr>
  </w:style>
  <w:style w:type="character" w:customStyle="1" w:styleId="84">
    <w:name w:val="明显强调1"/>
    <w:qFormat/>
    <w:uiPriority w:val="99"/>
    <w:rPr>
      <w:rFonts w:cs="Times New Roman"/>
      <w:b/>
      <w:bCs/>
      <w:i/>
      <w:iCs/>
      <w:color w:val="4F81BD"/>
    </w:rPr>
  </w:style>
  <w:style w:type="character" w:customStyle="1" w:styleId="85">
    <w:name w:val="不明显参考1"/>
    <w:qFormat/>
    <w:uiPriority w:val="99"/>
    <w:rPr>
      <w:rFonts w:cs="Times New Roman"/>
      <w:smallCaps/>
      <w:color w:val="C0504D"/>
      <w:u w:val="single"/>
    </w:rPr>
  </w:style>
  <w:style w:type="character" w:customStyle="1" w:styleId="86">
    <w:name w:val="明显参考1"/>
    <w:qFormat/>
    <w:uiPriority w:val="99"/>
    <w:rPr>
      <w:rFonts w:cs="Times New Roman"/>
      <w:b/>
      <w:bCs/>
      <w:smallCaps/>
      <w:color w:val="C0504D"/>
      <w:spacing w:val="5"/>
      <w:u w:val="single"/>
    </w:rPr>
  </w:style>
  <w:style w:type="character" w:customStyle="1" w:styleId="87">
    <w:name w:val="书籍标题1"/>
    <w:qFormat/>
    <w:uiPriority w:val="99"/>
    <w:rPr>
      <w:rFonts w:cs="Times New Roman"/>
      <w:b/>
      <w:bCs/>
      <w:smallCaps/>
      <w:spacing w:val="5"/>
    </w:rPr>
  </w:style>
  <w:style w:type="paragraph" w:customStyle="1" w:styleId="88">
    <w:name w:val="TOC 标题1"/>
    <w:basedOn w:val="3"/>
    <w:next w:val="1"/>
    <w:semiHidden/>
    <w:qFormat/>
    <w:uiPriority w:val="99"/>
    <w:pPr>
      <w:outlineLvl w:val="9"/>
    </w:pPr>
  </w:style>
  <w:style w:type="paragraph" w:customStyle="1" w:styleId="89">
    <w:name w:val="正文 A"/>
    <w:qFormat/>
    <w:uiPriority w:val="99"/>
    <w:pPr>
      <w:widowControl w:val="0"/>
      <w:spacing w:line="360" w:lineRule="auto"/>
      <w:ind w:firstLine="1440"/>
      <w:jc w:val="both"/>
    </w:pPr>
    <w:rPr>
      <w:rFonts w:ascii="Times New Roman" w:hAnsi="Times New Roman" w:eastAsia="宋体" w:cs="Arial Unicode MS"/>
      <w:color w:val="000000"/>
      <w:kern w:val="2"/>
      <w:sz w:val="24"/>
      <w:szCs w:val="24"/>
      <w:u w:color="000000"/>
      <w:lang w:val="en-US" w:eastAsia="zh-CN" w:bidi="ar-SA"/>
    </w:rPr>
  </w:style>
  <w:style w:type="character" w:customStyle="1" w:styleId="90">
    <w:name w:val="Default Char"/>
    <w:link w:val="44"/>
    <w:qFormat/>
    <w:locked/>
    <w:uiPriority w:val="99"/>
    <w:rPr>
      <w:rFonts w:ascii="......." w:eastAsia="......."/>
      <w:color w:val="000000"/>
      <w:sz w:val="24"/>
    </w:rPr>
  </w:style>
  <w:style w:type="character" w:customStyle="1" w:styleId="91">
    <w:name w:val="Hyperlink.0"/>
    <w:qFormat/>
    <w:uiPriority w:val="99"/>
    <w:rPr>
      <w:rFonts w:ascii="宋体" w:hAnsi="宋体" w:eastAsia="宋体"/>
      <w:color w:val="000000"/>
      <w:u w:color="000000"/>
      <w:lang w:val="en-US"/>
    </w:rPr>
  </w:style>
  <w:style w:type="table" w:customStyle="1" w:styleId="92">
    <w:name w:val="网格型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3">
    <w:name w:val="文档结构图 Char1"/>
    <w:semiHidden/>
    <w:qFormat/>
    <w:uiPriority w:val="99"/>
    <w:rPr>
      <w:rFonts w:ascii="宋体" w:eastAsia="宋体" w:cs="Times New Roman"/>
      <w:sz w:val="18"/>
      <w:szCs w:val="18"/>
    </w:rPr>
  </w:style>
  <w:style w:type="paragraph" w:customStyle="1" w:styleId="94">
    <w:name w:val="正文1"/>
    <w:qFormat/>
    <w:uiPriority w:val="99"/>
    <w:pPr>
      <w:framePr w:wrap="around" w:vAnchor="margin" w:hAnchor="text" w:yAlign="top"/>
    </w:pPr>
    <w:rPr>
      <w:rFonts w:ascii="Arial Unicode MS" w:hAnsi="Arial Unicode MS" w:eastAsia="宋体" w:cs="Arial Unicode MS"/>
      <w:color w:val="000000"/>
      <w:sz w:val="22"/>
      <w:szCs w:val="22"/>
      <w:u w:color="000000"/>
      <w:lang w:val="zh-TW" w:eastAsia="zh-TW" w:bidi="ar-SA"/>
    </w:rPr>
  </w:style>
  <w:style w:type="character" w:customStyle="1" w:styleId="95">
    <w:name w:val="font01"/>
    <w:qFormat/>
    <w:uiPriority w:val="99"/>
    <w:rPr>
      <w:rFonts w:ascii="宋体" w:hAnsi="宋体" w:eastAsia="宋体" w:cs="宋体"/>
      <w:color w:val="000000"/>
      <w:sz w:val="20"/>
      <w:szCs w:val="20"/>
      <w:u w:val="none"/>
    </w:rPr>
  </w:style>
  <w:style w:type="character" w:customStyle="1" w:styleId="96">
    <w:name w:val="underline"/>
    <w:qFormat/>
    <w:uiPriority w:val="99"/>
    <w:rPr>
      <w:rFonts w:cs="Times New Roman"/>
      <w:u w:val="single"/>
    </w:rPr>
  </w:style>
  <w:style w:type="paragraph" w:customStyle="1" w:styleId="97">
    <w:name w:val="List Paragraph1"/>
    <w:basedOn w:val="1"/>
    <w:qFormat/>
    <w:uiPriority w:val="99"/>
    <w:pPr>
      <w:widowControl w:val="0"/>
      <w:spacing w:after="0" w:line="240" w:lineRule="auto"/>
      <w:ind w:firstLine="420" w:firstLineChars="200"/>
      <w:jc w:val="both"/>
    </w:pPr>
    <w:rPr>
      <w:rFonts w:ascii="Times New Roman" w:hAnsi="Times New Roman"/>
      <w:kern w:val="2"/>
      <w:sz w:val="21"/>
      <w:szCs w:val="21"/>
    </w:rPr>
  </w:style>
  <w:style w:type="character" w:customStyle="1" w:styleId="98">
    <w:name w:val="15"/>
    <w:basedOn w:val="32"/>
    <w:qFormat/>
    <w:uiPriority w:val="0"/>
    <w:rPr>
      <w:rFonts w:hint="default" w:ascii="Arial" w:hAnsi="Arial" w:cs="Arial"/>
      <w:sz w:val="24"/>
      <w:szCs w:val="24"/>
    </w:rPr>
  </w:style>
  <w:style w:type="paragraph" w:customStyle="1" w:styleId="99">
    <w:name w:val="p0"/>
    <w:basedOn w:val="1"/>
    <w:qFormat/>
    <w:uiPriority w:val="0"/>
    <w:pPr>
      <w:spacing w:line="360" w:lineRule="auto"/>
      <w:ind w:firstLine="420" w:firstLineChars="200"/>
    </w:pPr>
    <w:rPr>
      <w:sz w:val="24"/>
      <w:szCs w:val="24"/>
    </w:rPr>
  </w:style>
  <w:style w:type="character" w:customStyle="1" w:styleId="100">
    <w:name w:val="font81"/>
    <w:basedOn w:val="32"/>
    <w:qFormat/>
    <w:uiPriority w:val="0"/>
    <w:rPr>
      <w:rFonts w:hint="default" w:ascii="Times New Roman" w:hAnsi="Times New Roman" w:cs="Times New Roman"/>
      <w:color w:val="000000"/>
      <w:sz w:val="20"/>
      <w:szCs w:val="20"/>
      <w:u w:val="none"/>
    </w:rPr>
  </w:style>
  <w:style w:type="character" w:customStyle="1" w:styleId="101">
    <w:name w:val="font11"/>
    <w:basedOn w:val="32"/>
    <w:qFormat/>
    <w:uiPriority w:val="0"/>
    <w:rPr>
      <w:rFonts w:hint="eastAsia" w:ascii="宋体" w:hAnsi="宋体" w:eastAsia="宋体" w:cs="宋体"/>
      <w:color w:val="000000"/>
      <w:sz w:val="24"/>
      <w:szCs w:val="24"/>
      <w:u w:val="none"/>
    </w:rPr>
  </w:style>
  <w:style w:type="character" w:customStyle="1" w:styleId="102">
    <w:name w:val="font91"/>
    <w:basedOn w:val="32"/>
    <w:qFormat/>
    <w:uiPriority w:val="0"/>
    <w:rPr>
      <w:rFonts w:hint="eastAsia" w:ascii="宋体" w:hAnsi="宋体" w:eastAsia="宋体" w:cs="宋体"/>
      <w:color w:val="000000"/>
      <w:sz w:val="20"/>
      <w:szCs w:val="20"/>
      <w:u w:val="none"/>
    </w:rPr>
  </w:style>
  <w:style w:type="character" w:customStyle="1" w:styleId="103">
    <w:name w:val="font101"/>
    <w:basedOn w:val="32"/>
    <w:qFormat/>
    <w:uiPriority w:val="0"/>
    <w:rPr>
      <w:rFonts w:hint="default" w:ascii="Times New Roman" w:hAnsi="Times New Roman" w:cs="Times New Roman"/>
      <w:color w:val="000000"/>
      <w:sz w:val="20"/>
      <w:szCs w:val="20"/>
      <w:u w:val="none"/>
    </w:rPr>
  </w:style>
  <w:style w:type="character" w:customStyle="1" w:styleId="104">
    <w:name w:val="first-child1"/>
    <w:basedOn w:val="32"/>
    <w:qFormat/>
    <w:uiPriority w:val="0"/>
  </w:style>
  <w:style w:type="character" w:customStyle="1" w:styleId="105">
    <w:name w:val="required"/>
    <w:basedOn w:val="32"/>
    <w:qFormat/>
    <w:uiPriority w:val="0"/>
    <w:rPr>
      <w:color w:val="FF000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D72C7C-1432-42F9-9BD7-D1C8BD4C44B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71</Pages>
  <Words>28731</Words>
  <Characters>30980</Characters>
  <Lines>240</Lines>
  <Paragraphs>67</Paragraphs>
  <TotalTime>60</TotalTime>
  <ScaleCrop>false</ScaleCrop>
  <LinksUpToDate>false</LinksUpToDate>
  <CharactersWithSpaces>32619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2019-12-31T08:47:00Z</dcterms:created>
  <dc:creator>未定义</dc:creator>
  <cp:lastModifiedBy>LionSolarChicago</cp:lastModifiedBy>
  <cp:lastPrinted>2019-04-12T05:04:00Z</cp:lastPrinted>
  <dcterms:modified xsi:type="dcterms:W3CDTF">2022-07-31T09:55:02Z</dcterms:modified>
  <dc:title>天津铁道职业技术学院劳务派遣服务项目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2CDB1356D65A46C1BD5E1DDFF04D4CAE</vt:lpwstr>
  </property>
  <property fmtid="{D5CDD505-2E9C-101B-9397-08002B2CF9AE}" pid="4" name="commondata">
    <vt:lpwstr>eyJoZGlkIjoiZTE0OGM2ZjEwNTZlN2EwZGE0ZGQwN2Y0YjhiMzM3ZWMifQ==</vt:lpwstr>
  </property>
</Properties>
</file>